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20-F</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820" w:hanging="488"/>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(g) OF THE SECURITIES EXCHANGE ACT OF 1934</w:t>
      </w:r>
    </w:p>
    <w:p>
      <w:pPr>
        <w:spacing w:after="0" w:line="29"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05" w:lineRule="exact"/>
        <w:rPr>
          <w:sz w:val="24"/>
          <w:szCs w:val="24"/>
          <w:color w:val="auto"/>
        </w:rPr>
      </w:pPr>
    </w:p>
    <w:p>
      <w:pPr>
        <w:ind w:left="820" w:right="1640" w:hanging="488"/>
        <w:spacing w:after="0" w:line="261" w:lineRule="auto"/>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jc w:val="center"/>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jc w:val="center"/>
        <w:ind w:left="5480" w:right="1260" w:hanging="5148"/>
        <w:spacing w:after="0" w:line="282" w:lineRule="auto"/>
        <w:tabs>
          <w:tab w:leader="none" w:pos="809"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OR</w:t>
      </w:r>
    </w:p>
    <w:p>
      <w:pPr>
        <w:spacing w:after="0" w:line="161" w:lineRule="exact"/>
        <w:rPr>
          <w:rFonts w:ascii="MS PGothic" w:cs="MS PGothic" w:eastAsia="MS PGothic" w:hAnsi="MS PGothic"/>
          <w:sz w:val="18"/>
          <w:szCs w:val="18"/>
          <w:color w:val="auto"/>
        </w:rPr>
      </w:pPr>
    </w:p>
    <w:p>
      <w:pPr>
        <w:ind w:left="820" w:hanging="488"/>
        <w:spacing w:after="0"/>
        <w:tabs>
          <w:tab w:leader="none" w:pos="82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001-40530</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GH Research PLC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Ireland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 Baggot Street Lower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Dublin 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D02-NX43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Ireland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Theis Terwey, PD, Dr. Med.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 Baggot Street Lower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Dublin 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D02 NX43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Ireland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+353 1 437 8443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Deanna L. Kirkpatrick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Yasin Keshvargar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450-4000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w:t>
            </w:r>
          </w:p>
        </w:tc>
        <w:tc>
          <w:tcPr>
            <w:tcW w:w="3700" w:type="dxa"/>
            <w:vAlign w:val="bottom"/>
          </w:tcPr>
          <w:p>
            <w:pPr>
              <w:spacing w:after="0"/>
              <w:rPr>
                <w:sz w:val="20"/>
                <w:szCs w:val="20"/>
                <w:color w:val="auto"/>
              </w:rPr>
            </w:pPr>
            <w:r>
              <w:rPr>
                <w:rFonts w:ascii="Arial" w:cs="Arial" w:eastAsia="Arial" w:hAnsi="Arial"/>
                <w:sz w:val="18"/>
                <w:szCs w:val="18"/>
                <w:b w:val="1"/>
                <w:bCs w:val="1"/>
                <w:color w:val="auto"/>
                <w:w w:val="96"/>
              </w:rPr>
              <w:t>Name of each exchange on which 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Ordinary shares, nominal value $0.025 per share</w:t>
            </w:r>
          </w:p>
        </w:tc>
        <w:tc>
          <w:tcPr>
            <w:tcW w:w="12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GHRS</w:t>
            </w:r>
          </w:p>
        </w:tc>
        <w:tc>
          <w:tcPr>
            <w:tcW w:w="100" w:type="dxa"/>
            <w:vAlign w:val="bottom"/>
          </w:tcPr>
          <w:p>
            <w:pPr>
              <w:spacing w:after="0"/>
              <w:rPr>
                <w:sz w:val="20"/>
                <w:szCs w:val="20"/>
                <w:color w:val="auto"/>
              </w:rPr>
            </w:pPr>
          </w:p>
        </w:tc>
        <w:tc>
          <w:tcPr>
            <w:tcW w:w="370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Nasdaq Global Market</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for which there is a reporting obligation pursuant to Section 15(d)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1" w:lineRule="exact"/>
        <w:rPr>
          <w:sz w:val="24"/>
          <w:szCs w:val="24"/>
          <w:color w:val="auto"/>
        </w:rPr>
      </w:pPr>
    </w:p>
    <w:p>
      <w:pPr>
        <w:ind w:right="380"/>
        <w:spacing w:after="0" w:line="258"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Ordinary shares: 52,020,849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ind w:left="4960"/>
        <w:spacing w:after="0" w:line="207" w:lineRule="exact"/>
        <w:tabs>
          <w:tab w:leader="none" w:pos="58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1">
            <w:col w:w="11240"/>
          </w:cols>
          <w:pgMar w:left="320" w:top="528" w:right="339" w:bottom="0" w:gutter="0" w:footer="0" w:header="0"/>
        </w:sectPr>
      </w:pPr>
    </w:p>
    <w:bookmarkStart w:id="1" w:name="page2"/>
    <w:bookmarkEnd w:id="1"/>
    <w:p>
      <w:pPr>
        <w:ind w:right="240"/>
        <w:spacing w:after="0" w:line="255"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2" w:lineRule="exact"/>
        <w:rPr>
          <w:sz w:val="20"/>
          <w:szCs w:val="20"/>
          <w:color w:val="auto"/>
        </w:rPr>
      </w:pPr>
    </w:p>
    <w:p>
      <w:pPr>
        <w:jc w:val="center"/>
        <w:ind w:right="-59"/>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59"/>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0"/>
          <w:szCs w:val="20"/>
          <w:color w:val="auto"/>
        </w:rPr>
      </w:pPr>
    </w:p>
    <w:p>
      <w:pPr>
        <w:jc w:val="center"/>
        <w:ind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00"/>
          </w:cols>
          <w:pgMar w:left="320" w:top="125" w:right="379" w:bottom="1440" w:gutter="0" w:footer="0" w:header="0"/>
        </w:sectPr>
      </w:pPr>
    </w:p>
    <w:p>
      <w:pPr>
        <w:spacing w:after="0" w:line="14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240"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02" w:lineRule="exact"/>
        <w:rPr>
          <w:sz w:val="20"/>
          <w:szCs w:val="20"/>
          <w:color w:val="auto"/>
        </w:rPr>
      </w:pPr>
    </w:p>
    <w:p>
      <w:pPr>
        <w:sectPr>
          <w:pgSz w:w="11900" w:h="16838" w:orient="portrait"/>
          <w:cols w:equalWidth="0" w:num="6">
            <w:col w:w="2600" w:space="100"/>
            <w:col w:w="1440" w:space="720"/>
            <w:col w:w="1260" w:space="80"/>
            <w:col w:w="560" w:space="720"/>
            <w:col w:w="1980" w:space="80"/>
            <w:col w:w="1660"/>
          </w:cols>
          <w:pgMar w:left="320" w:top="125" w:right="379" w:bottom="1440" w:gutter="0" w:footer="0" w:header="0"/>
          <w:type w:val="continuous"/>
        </w:sectPr>
      </w:pPr>
    </w:p>
    <w:p>
      <w:pPr>
        <w:spacing w:after="0" w:line="2" w:lineRule="exact"/>
        <w:rPr>
          <w:sz w:val="20"/>
          <w:szCs w:val="20"/>
          <w:color w:val="auto"/>
        </w:rPr>
      </w:pPr>
    </w:p>
    <w:p>
      <w:pPr>
        <w:jc w:val="both"/>
        <w:ind w:right="100"/>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8"/>
          <w:szCs w:val="18"/>
          <w:color w:val="auto"/>
        </w:rPr>
        <w:t>☐</w:t>
      </w:r>
    </w:p>
    <w:p>
      <w:pPr>
        <w:spacing w:after="0" w:line="184" w:lineRule="exact"/>
        <w:rPr>
          <w:sz w:val="20"/>
          <w:szCs w:val="20"/>
          <w:color w:val="auto"/>
        </w:rPr>
      </w:pPr>
    </w:p>
    <w:p>
      <w:pPr>
        <w:ind w:right="400" w:firstLine="8"/>
        <w:spacing w:after="0" w:line="277"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70" w:lineRule="exact"/>
        <w:rPr>
          <w:sz w:val="20"/>
          <w:szCs w:val="20"/>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pacing w:after="0" w:line="225" w:lineRule="exact"/>
        <w:rPr>
          <w:sz w:val="20"/>
          <w:szCs w:val="20"/>
          <w:color w:val="auto"/>
        </w:rPr>
      </w:pPr>
    </w:p>
    <w:p>
      <w:pPr>
        <w:ind w:left="1220" w:hanging="564"/>
        <w:spacing w:after="0"/>
        <w:tabs>
          <w:tab w:leader="none" w:pos="12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U.S. GAAP</w:t>
      </w:r>
    </w:p>
    <w:p>
      <w:pPr>
        <w:spacing w:after="0" w:line="18" w:lineRule="exact"/>
        <w:rPr>
          <w:sz w:val="20"/>
          <w:szCs w:val="20"/>
          <w:color w:val="auto"/>
        </w:rPr>
      </w:pPr>
    </w:p>
    <w:p>
      <w:pPr>
        <w:ind w:left="1220" w:hanging="564"/>
        <w:spacing w:after="0"/>
        <w:tabs>
          <w:tab w:leader="none" w:pos="122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International Financial Reporting Standards as issued by the International Accounting Standards Board</w:t>
      </w:r>
    </w:p>
    <w:p>
      <w:pPr>
        <w:spacing w:after="0" w:line="9" w:lineRule="exact"/>
        <w:rPr>
          <w:sz w:val="20"/>
          <w:szCs w:val="20"/>
          <w:color w:val="auto"/>
        </w:rPr>
      </w:pPr>
    </w:p>
    <w:p>
      <w:pPr>
        <w:ind w:left="1220" w:hanging="564"/>
        <w:spacing w:after="0"/>
        <w:tabs>
          <w:tab w:leader="none" w:pos="122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Other</w:t>
      </w:r>
    </w:p>
    <w:p>
      <w:pPr>
        <w:spacing w:after="0" w:line="216" w:lineRule="exact"/>
        <w:rPr>
          <w:sz w:val="20"/>
          <w:szCs w:val="20"/>
          <w:color w:val="auto"/>
        </w:rPr>
      </w:pPr>
    </w:p>
    <w:p>
      <w:pPr>
        <w:ind w:right="500"/>
        <w:spacing w:after="0" w:line="255" w:lineRule="auto"/>
        <w:rPr>
          <w:sz w:val="20"/>
          <w:szCs w:val="20"/>
          <w:color w:val="auto"/>
        </w:rPr>
      </w:pPr>
      <w:r>
        <w:rPr>
          <w:rFonts w:ascii="Arial" w:cs="Arial" w:eastAsia="Arial" w:hAnsi="Arial"/>
          <w:sz w:val="18"/>
          <w:szCs w:val="18"/>
          <w:color w:val="auto"/>
        </w:rPr>
        <w:t>If “Other” has been checked in response to the previous question, indicate by check mark which financial statement item the registrant has elected to follow.</w:t>
      </w:r>
    </w:p>
    <w:p>
      <w:pPr>
        <w:spacing w:after="0" w:line="1" w:lineRule="exact"/>
        <w:rPr>
          <w:sz w:val="20"/>
          <w:szCs w:val="20"/>
          <w:color w:val="auto"/>
        </w:rPr>
      </w:pPr>
    </w:p>
    <w:p>
      <w:pPr>
        <w:jc w:val="center"/>
        <w:ind w:right="-59"/>
        <w:spacing w:after="0" w:line="207" w:lineRule="exact"/>
        <w:tabs>
          <w:tab w:leader="none" w:pos="4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Item 17</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Item 18</w:t>
      </w:r>
    </w:p>
    <w:p>
      <w:pPr>
        <w:spacing w:after="0" w:line="216" w:lineRule="exact"/>
        <w:rPr>
          <w:sz w:val="20"/>
          <w:szCs w:val="20"/>
          <w:color w:val="auto"/>
        </w:rPr>
      </w:pPr>
    </w:p>
    <w:p>
      <w:pPr>
        <w:ind w:left="4960" w:right="1140" w:hanging="4942"/>
        <w:spacing w:after="0" w:line="233" w:lineRule="exact"/>
        <w:rPr>
          <w:sz w:val="20"/>
          <w:szCs w:val="20"/>
          <w:color w:val="auto"/>
        </w:rPr>
      </w:pPr>
      <w:r>
        <w:rPr>
          <w:rFonts w:ascii="Arial" w:cs="Arial" w:eastAsia="Arial" w:hAnsi="Arial"/>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40" w:type="dxa"/>
            <w:vAlign w:val="bottom"/>
            <w:gridSpan w:val="11"/>
          </w:tcPr>
          <w:p>
            <w:pPr>
              <w:ind w:left="160"/>
              <w:spacing w:after="0"/>
              <w:rPr>
                <w:sz w:val="20"/>
                <w:szCs w:val="20"/>
                <w:color w:val="auto"/>
              </w:rPr>
            </w:pPr>
            <w:r>
              <w:rPr>
                <w:rFonts w:ascii="Arial" w:cs="Arial" w:eastAsia="Arial" w:hAnsi="Arial"/>
                <w:sz w:val="18"/>
                <w:szCs w:val="18"/>
                <w:b w:val="1"/>
                <w:bCs w:val="1"/>
                <w:color w:val="auto"/>
              </w:rPr>
              <w:t>TABLE OF CONTENTS</w:t>
            </w:r>
          </w:p>
        </w:tc>
        <w:tc>
          <w:tcPr>
            <w:tcW w:w="4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5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73"/>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40" w:type="dxa"/>
            <w:vAlign w:val="bottom"/>
            <w:gridSpan w:val="51"/>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PRESENTATION OF FINANCIAL AND OTHER INFORMATION</w:t>
              </w:r>
            </w:hyperlink>
          </w:p>
        </w:tc>
        <w:tc>
          <w:tcPr>
            <w:tcW w:w="41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iii</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40" w:type="dxa"/>
            <w:vAlign w:val="bottom"/>
            <w:gridSpan w:val="51"/>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CAUTIONARY STATEMENT REGARDING FORWARD-LOOKING STATEMENTS</w:t>
              </w:r>
            </w:hyperlink>
          </w:p>
        </w:tc>
        <w:tc>
          <w:tcPr>
            <w:tcW w:w="4160" w:type="dxa"/>
            <w:vAlign w:val="bottom"/>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8"/>
                <w:szCs w:val="18"/>
                <w:color w:val="auto"/>
              </w:rPr>
              <w:t>iv</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gridSpan w:val="51"/>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SERVICE OF PROCESS AND ENFORCEMENT OF LIABILITIES</w:t>
              </w:r>
            </w:hyperlink>
          </w:p>
        </w:tc>
        <w:tc>
          <w:tcPr>
            <w:tcW w:w="41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vii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20" w:type="dxa"/>
            <w:vAlign w:val="bottom"/>
            <w:tcBorders>
              <w:top w:val="single" w:sz="8" w:color="0000EE"/>
            </w:tcBorders>
            <w:gridSpan w:val="2"/>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PART I</w:t>
              </w:r>
            </w:hyperlink>
          </w:p>
        </w:tc>
        <w:tc>
          <w:tcPr>
            <w:tcW w:w="5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50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5600" w:type="dxa"/>
            <w:vAlign w:val="bottom"/>
            <w:tcBorders>
              <w:bottom w:val="single" w:sz="8" w:color="0000EE"/>
            </w:tcBorders>
            <w:gridSpan w:val="48"/>
            <w:shd w:val="clear" w:color="auto" w:fill="CCEEFF"/>
          </w:tcPr>
          <w:p>
            <w:pPr>
              <w:spacing w:after="0" w:line="176" w:lineRule="exact"/>
              <w:rPr>
                <w:rFonts w:ascii="Arial" w:cs="Arial" w:eastAsia="Arial" w:hAnsi="Arial"/>
                <w:sz w:val="18"/>
                <w:szCs w:val="18"/>
                <w:color w:val="0000EE"/>
                <w:w w:val="97"/>
              </w:rPr>
            </w:pPr>
            <w:hyperlink w:anchor="page10">
              <w:r>
                <w:rPr>
                  <w:rFonts w:ascii="Arial" w:cs="Arial" w:eastAsia="Arial" w:hAnsi="Arial"/>
                  <w:sz w:val="18"/>
                  <w:szCs w:val="18"/>
                  <w:color w:val="0000EE"/>
                  <w:w w:val="97"/>
                </w:rPr>
                <w:t>IDENTITY OF DIRECTORS, SENIOR MANAGEMENT AND ADVISERS</w:t>
              </w:r>
            </w:hyperlink>
          </w:p>
        </w:tc>
        <w:tc>
          <w:tcPr>
            <w:tcW w:w="20" w:type="dxa"/>
            <w:vAlign w:val="bottom"/>
            <w:tcBorders>
              <w:bottom w:val="single" w:sz="8" w:color="CCEEFF"/>
            </w:tcBorders>
            <w:shd w:val="clear" w:color="auto" w:fill="CCEEFF"/>
          </w:tcPr>
          <w:p>
            <w:pPr>
              <w:spacing w:after="0"/>
              <w:rPr>
                <w:sz w:val="17"/>
                <w:szCs w:val="17"/>
                <w:color w:val="auto"/>
              </w:rPr>
            </w:pPr>
          </w:p>
        </w:tc>
        <w:tc>
          <w:tcPr>
            <w:tcW w:w="45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580" w:type="dxa"/>
            <w:vAlign w:val="bottom"/>
          </w:tcPr>
          <w:p>
            <w:pPr>
              <w:ind w:left="20"/>
              <w:spacing w:after="0" w:line="176" w:lineRule="exact"/>
              <w:rPr>
                <w:sz w:val="20"/>
                <w:szCs w:val="20"/>
                <w:color w:val="auto"/>
              </w:rPr>
            </w:pPr>
            <w:r>
              <w:rPr>
                <w:rFonts w:ascii="Arial" w:cs="Arial" w:eastAsia="Arial" w:hAnsi="Arial"/>
                <w:sz w:val="18"/>
                <w:szCs w:val="18"/>
                <w:color w:val="auto"/>
              </w:rPr>
              <w:t>A.</w:t>
            </w:r>
          </w:p>
        </w:tc>
        <w:tc>
          <w:tcPr>
            <w:tcW w:w="5620" w:type="dxa"/>
            <w:vAlign w:val="bottom"/>
            <w:gridSpan w:val="49"/>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Directors and Senior Management</w:t>
              </w:r>
            </w:hyperlink>
          </w:p>
        </w:tc>
        <w:tc>
          <w:tcPr>
            <w:tcW w:w="45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B.</w:t>
            </w:r>
          </w:p>
        </w:tc>
        <w:tc>
          <w:tcPr>
            <w:tcW w:w="6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Advisers</w:t>
              </w:r>
            </w:hyperlink>
          </w:p>
        </w:tc>
        <w:tc>
          <w:tcPr>
            <w:tcW w:w="4980" w:type="dxa"/>
            <w:vAlign w:val="bottom"/>
            <w:tcBorders>
              <w:bottom w:val="single" w:sz="8" w:color="CCEEFF"/>
            </w:tcBorders>
            <w:gridSpan w:val="45"/>
            <w:shd w:val="clear" w:color="auto" w:fill="CCEEFF"/>
          </w:tcPr>
          <w:p>
            <w:pPr>
              <w:spacing w:after="0"/>
              <w:rPr>
                <w:sz w:val="17"/>
                <w:szCs w:val="17"/>
                <w:color w:val="auto"/>
              </w:rPr>
            </w:pPr>
          </w:p>
        </w:tc>
        <w:tc>
          <w:tcPr>
            <w:tcW w:w="45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580" w:type="dxa"/>
            <w:vAlign w:val="bottom"/>
          </w:tcPr>
          <w:p>
            <w:pPr>
              <w:ind w:left="20"/>
              <w:spacing w:after="0" w:line="176" w:lineRule="exact"/>
              <w:rPr>
                <w:sz w:val="20"/>
                <w:szCs w:val="20"/>
                <w:color w:val="auto"/>
              </w:rPr>
            </w:pPr>
            <w:r>
              <w:rPr>
                <w:rFonts w:ascii="Arial" w:cs="Arial" w:eastAsia="Arial" w:hAnsi="Arial"/>
                <w:sz w:val="18"/>
                <w:szCs w:val="18"/>
                <w:color w:val="auto"/>
              </w:rPr>
              <w:t>C.</w:t>
            </w:r>
          </w:p>
        </w:tc>
        <w:tc>
          <w:tcPr>
            <w:tcW w:w="5620" w:type="dxa"/>
            <w:vAlign w:val="bottom"/>
            <w:gridSpan w:val="49"/>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Auditors</w:t>
              </w:r>
            </w:hyperlink>
          </w:p>
        </w:tc>
        <w:tc>
          <w:tcPr>
            <w:tcW w:w="45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4020" w:type="dxa"/>
            <w:vAlign w:val="bottom"/>
            <w:tcBorders>
              <w:bottom w:val="single" w:sz="8" w:color="0000EE"/>
            </w:tcBorders>
            <w:gridSpan w:val="42"/>
            <w:shd w:val="clear" w:color="auto" w:fill="CCEEFF"/>
          </w:tcPr>
          <w:p>
            <w:pPr>
              <w:spacing w:after="0" w:line="176" w:lineRule="exact"/>
              <w:rPr>
                <w:rFonts w:ascii="Arial" w:cs="Arial" w:eastAsia="Arial" w:hAnsi="Arial"/>
                <w:sz w:val="18"/>
                <w:szCs w:val="18"/>
                <w:color w:val="0000EE"/>
                <w:w w:val="95"/>
              </w:rPr>
            </w:pPr>
            <w:hyperlink w:anchor="page10">
              <w:r>
                <w:rPr>
                  <w:rFonts w:ascii="Arial" w:cs="Arial" w:eastAsia="Arial" w:hAnsi="Arial"/>
                  <w:sz w:val="18"/>
                  <w:szCs w:val="18"/>
                  <w:color w:val="0000EE"/>
                  <w:w w:val="95"/>
                </w:rPr>
                <w:t>OFFER STATISTICS AND EXPECTED TIMETABLE</w:t>
              </w:r>
            </w:hyperlink>
          </w:p>
        </w:tc>
        <w:tc>
          <w:tcPr>
            <w:tcW w:w="1600" w:type="dxa"/>
            <w:vAlign w:val="bottom"/>
            <w:tcBorders>
              <w:bottom w:val="single" w:sz="8" w:color="CCEEFF"/>
            </w:tcBorders>
            <w:gridSpan w:val="7"/>
            <w:shd w:val="clear" w:color="auto" w:fill="CCEEFF"/>
          </w:tcPr>
          <w:p>
            <w:pPr>
              <w:spacing w:after="0"/>
              <w:rPr>
                <w:sz w:val="17"/>
                <w:szCs w:val="17"/>
                <w:color w:val="auto"/>
              </w:rPr>
            </w:pPr>
          </w:p>
        </w:tc>
        <w:tc>
          <w:tcPr>
            <w:tcW w:w="45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580" w:type="dxa"/>
            <w:vAlign w:val="bottom"/>
          </w:tcPr>
          <w:p>
            <w:pPr>
              <w:ind w:left="20"/>
              <w:spacing w:after="0" w:line="176" w:lineRule="exact"/>
              <w:rPr>
                <w:sz w:val="20"/>
                <w:szCs w:val="20"/>
                <w:color w:val="auto"/>
              </w:rPr>
            </w:pPr>
            <w:r>
              <w:rPr>
                <w:rFonts w:ascii="Arial" w:cs="Arial" w:eastAsia="Arial" w:hAnsi="Arial"/>
                <w:sz w:val="18"/>
                <w:szCs w:val="18"/>
                <w:color w:val="auto"/>
              </w:rPr>
              <w:t>A.</w:t>
            </w:r>
          </w:p>
        </w:tc>
        <w:tc>
          <w:tcPr>
            <w:tcW w:w="5620" w:type="dxa"/>
            <w:vAlign w:val="bottom"/>
            <w:gridSpan w:val="49"/>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Offer Statistics</w:t>
              </w:r>
            </w:hyperlink>
          </w:p>
        </w:tc>
        <w:tc>
          <w:tcPr>
            <w:tcW w:w="45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B.</w:t>
            </w:r>
          </w:p>
        </w:tc>
        <w:tc>
          <w:tcPr>
            <w:tcW w:w="2400" w:type="dxa"/>
            <w:vAlign w:val="bottom"/>
            <w:tcBorders>
              <w:bottom w:val="single" w:sz="8" w:color="0000EE"/>
            </w:tcBorders>
            <w:gridSpan w:val="32"/>
            <w:shd w:val="clear" w:color="auto" w:fill="CCEEFF"/>
          </w:tcPr>
          <w:p>
            <w:pPr>
              <w:spacing w:after="0" w:line="176"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Method And Expected Timetable</w:t>
              </w:r>
            </w:hyperlink>
          </w:p>
        </w:tc>
        <w:tc>
          <w:tcPr>
            <w:tcW w:w="3220" w:type="dxa"/>
            <w:vAlign w:val="bottom"/>
            <w:tcBorders>
              <w:bottom w:val="single" w:sz="8" w:color="CCEEFF"/>
            </w:tcBorders>
            <w:gridSpan w:val="17"/>
            <w:shd w:val="clear" w:color="auto" w:fill="CCEEFF"/>
          </w:tcPr>
          <w:p>
            <w:pPr>
              <w:spacing w:after="0"/>
              <w:rPr>
                <w:sz w:val="17"/>
                <w:szCs w:val="17"/>
                <w:color w:val="auto"/>
              </w:rPr>
            </w:pPr>
          </w:p>
        </w:tc>
        <w:tc>
          <w:tcPr>
            <w:tcW w:w="45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20" w:type="dxa"/>
            <w:vAlign w:val="bottom"/>
            <w:gridSpan w:val="2"/>
          </w:tcPr>
          <w:p>
            <w:pPr>
              <w:spacing w:after="0" w:line="176" w:lineRule="exact"/>
              <w:rPr>
                <w:sz w:val="20"/>
                <w:szCs w:val="20"/>
                <w:color w:val="auto"/>
              </w:rPr>
            </w:pPr>
            <w:r>
              <w:rPr>
                <w:rFonts w:ascii="Arial" w:cs="Arial" w:eastAsia="Arial" w:hAnsi="Arial"/>
                <w:sz w:val="18"/>
                <w:szCs w:val="18"/>
                <w:color w:val="auto"/>
              </w:rPr>
              <w:t>ITEM 3.</w:t>
            </w:r>
          </w:p>
        </w:tc>
        <w:tc>
          <w:tcPr>
            <w:tcW w:w="5620" w:type="dxa"/>
            <w:vAlign w:val="bottom"/>
            <w:gridSpan w:val="49"/>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KEY INFORMATION</w:t>
              </w:r>
            </w:hyperlink>
          </w:p>
        </w:tc>
        <w:tc>
          <w:tcPr>
            <w:tcW w:w="45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5620" w:type="dxa"/>
            <w:vAlign w:val="bottom"/>
            <w:gridSpan w:val="49"/>
            <w:shd w:val="clear" w:color="auto" w:fill="CCEEFF"/>
          </w:tcPr>
          <w:p>
            <w:pPr>
              <w:spacing w:after="0"/>
              <w:rPr>
                <w:sz w:val="20"/>
                <w:szCs w:val="20"/>
                <w:color w:val="auto"/>
              </w:rPr>
            </w:pPr>
            <w:r>
              <w:rPr>
                <w:rFonts w:ascii="Arial" w:cs="Arial" w:eastAsia="Arial" w:hAnsi="Arial"/>
                <w:sz w:val="18"/>
                <w:szCs w:val="18"/>
                <w:color w:val="auto"/>
              </w:rPr>
              <w:t>[Reserved]</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580" w:type="dxa"/>
            <w:vAlign w:val="bottom"/>
          </w:tcPr>
          <w:p>
            <w:pPr>
              <w:ind w:left="20"/>
              <w:spacing w:after="0" w:line="176" w:lineRule="exact"/>
              <w:rPr>
                <w:sz w:val="20"/>
                <w:szCs w:val="20"/>
                <w:color w:val="auto"/>
              </w:rPr>
            </w:pPr>
            <w:r>
              <w:rPr>
                <w:rFonts w:ascii="Arial" w:cs="Arial" w:eastAsia="Arial" w:hAnsi="Arial"/>
                <w:sz w:val="18"/>
                <w:szCs w:val="18"/>
                <w:color w:val="auto"/>
              </w:rPr>
              <w:t>B.</w:t>
            </w:r>
          </w:p>
        </w:tc>
        <w:tc>
          <w:tcPr>
            <w:tcW w:w="5620" w:type="dxa"/>
            <w:vAlign w:val="bottom"/>
            <w:gridSpan w:val="49"/>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Capitalization and Indebtedness</w:t>
              </w:r>
            </w:hyperlink>
          </w:p>
        </w:tc>
        <w:tc>
          <w:tcPr>
            <w:tcW w:w="45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w:t>
            </w:r>
          </w:p>
        </w:tc>
        <w:tc>
          <w:tcPr>
            <w:tcW w:w="5620" w:type="dxa"/>
            <w:vAlign w:val="bottom"/>
            <w:gridSpan w:val="49"/>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Reasons for the Offer and Use of Proceeds</w:t>
              </w:r>
            </w:hyperlink>
          </w:p>
        </w:tc>
        <w:tc>
          <w:tcPr>
            <w:tcW w:w="45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4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ind w:left="20"/>
              <w:spacing w:after="0" w:line="176" w:lineRule="exact"/>
              <w:rPr>
                <w:sz w:val="20"/>
                <w:szCs w:val="20"/>
                <w:color w:val="auto"/>
              </w:rPr>
            </w:pPr>
            <w:r>
              <w:rPr>
                <w:rFonts w:ascii="Arial" w:cs="Arial" w:eastAsia="Arial" w:hAnsi="Arial"/>
                <w:sz w:val="18"/>
                <w:szCs w:val="18"/>
                <w:color w:val="auto"/>
              </w:rPr>
              <w:t>D.</w:t>
            </w:r>
          </w:p>
        </w:tc>
        <w:tc>
          <w:tcPr>
            <w:tcW w:w="3060" w:type="dxa"/>
            <w:vAlign w:val="bottom"/>
            <w:tcBorders>
              <w:top w:val="single" w:sz="8" w:color="0000EE"/>
            </w:tcBorders>
            <w:gridSpan w:val="37"/>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2560" w:type="dxa"/>
            <w:vAlign w:val="bottom"/>
            <w:tcBorders>
              <w:top w:val="single" w:sz="8" w:color="CCEEFF"/>
            </w:tcBorders>
            <w:gridSpan w:val="12"/>
          </w:tcPr>
          <w:p>
            <w:pPr>
              <w:spacing w:after="0"/>
              <w:rPr>
                <w:sz w:val="15"/>
                <w:szCs w:val="15"/>
                <w:color w:val="auto"/>
              </w:rPr>
            </w:pPr>
          </w:p>
        </w:tc>
        <w:tc>
          <w:tcPr>
            <w:tcW w:w="450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5620" w:type="dxa"/>
            <w:vAlign w:val="bottom"/>
            <w:gridSpan w:val="49"/>
            <w:shd w:val="clear" w:color="auto" w:fill="CCEEFF"/>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INFORMATION ON THE COMPANY</w:t>
              </w:r>
            </w:hyperlink>
          </w:p>
        </w:tc>
        <w:tc>
          <w:tcPr>
            <w:tcW w:w="45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0" w:type="dxa"/>
            <w:vAlign w:val="bottom"/>
          </w:tcPr>
          <w:p>
            <w:pPr>
              <w:spacing w:after="0"/>
              <w:rPr>
                <w:sz w:val="15"/>
                <w:szCs w:val="15"/>
                <w:color w:val="auto"/>
              </w:rPr>
            </w:pPr>
          </w:p>
        </w:tc>
        <w:tc>
          <w:tcPr>
            <w:tcW w:w="580" w:type="dxa"/>
            <w:vAlign w:val="bottom"/>
          </w:tcPr>
          <w:p>
            <w:pPr>
              <w:ind w:left="20"/>
              <w:spacing w:after="0" w:line="176" w:lineRule="exact"/>
              <w:rPr>
                <w:sz w:val="20"/>
                <w:szCs w:val="20"/>
                <w:color w:val="auto"/>
              </w:rPr>
            </w:pPr>
            <w:r>
              <w:rPr>
                <w:rFonts w:ascii="Arial" w:cs="Arial" w:eastAsia="Arial" w:hAnsi="Arial"/>
                <w:sz w:val="18"/>
                <w:szCs w:val="18"/>
                <w:color w:val="auto"/>
              </w:rPr>
              <w:t>A.</w:t>
            </w:r>
          </w:p>
        </w:tc>
        <w:tc>
          <w:tcPr>
            <w:tcW w:w="5620" w:type="dxa"/>
            <w:vAlign w:val="bottom"/>
            <w:gridSpan w:val="49"/>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History and Development of the Company</w:t>
              </w:r>
            </w:hyperlink>
          </w:p>
        </w:tc>
        <w:tc>
          <w:tcPr>
            <w:tcW w:w="45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0" w:type="dxa"/>
            <w:vAlign w:val="bottom"/>
            <w:shd w:val="clear" w:color="auto" w:fill="CCEEFF"/>
          </w:tcPr>
          <w:p>
            <w:pPr>
              <w:spacing w:after="0"/>
              <w:rPr>
                <w:sz w:val="15"/>
                <w:szCs w:val="15"/>
                <w:color w:val="auto"/>
              </w:rPr>
            </w:pPr>
          </w:p>
        </w:tc>
        <w:tc>
          <w:tcPr>
            <w:tcW w:w="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B.</w:t>
            </w:r>
          </w:p>
        </w:tc>
        <w:tc>
          <w:tcPr>
            <w:tcW w:w="5620" w:type="dxa"/>
            <w:vAlign w:val="bottom"/>
            <w:gridSpan w:val="49"/>
            <w:shd w:val="clear" w:color="auto" w:fill="CCEEFF"/>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Business Overview</w:t>
              </w:r>
            </w:hyperlink>
          </w:p>
        </w:tc>
        <w:tc>
          <w:tcPr>
            <w:tcW w:w="45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0" w:type="dxa"/>
            <w:vAlign w:val="bottom"/>
          </w:tcPr>
          <w:p>
            <w:pPr>
              <w:spacing w:after="0"/>
              <w:rPr>
                <w:sz w:val="15"/>
                <w:szCs w:val="15"/>
                <w:color w:val="auto"/>
              </w:rPr>
            </w:pPr>
          </w:p>
        </w:tc>
        <w:tc>
          <w:tcPr>
            <w:tcW w:w="580" w:type="dxa"/>
            <w:vAlign w:val="bottom"/>
          </w:tcPr>
          <w:p>
            <w:pPr>
              <w:ind w:left="20"/>
              <w:spacing w:after="0" w:line="176" w:lineRule="exact"/>
              <w:rPr>
                <w:sz w:val="20"/>
                <w:szCs w:val="20"/>
                <w:color w:val="auto"/>
              </w:rPr>
            </w:pPr>
            <w:r>
              <w:rPr>
                <w:rFonts w:ascii="Arial" w:cs="Arial" w:eastAsia="Arial" w:hAnsi="Arial"/>
                <w:sz w:val="18"/>
                <w:szCs w:val="18"/>
                <w:color w:val="auto"/>
              </w:rPr>
              <w:t>C.</w:t>
            </w:r>
          </w:p>
        </w:tc>
        <w:tc>
          <w:tcPr>
            <w:tcW w:w="5620" w:type="dxa"/>
            <w:vAlign w:val="bottom"/>
            <w:gridSpan w:val="49"/>
          </w:tcPr>
          <w:p>
            <w:pPr>
              <w:spacing w:after="0" w:line="176" w:lineRule="exact"/>
              <w:rPr>
                <w:rFonts w:ascii="Arial" w:cs="Arial" w:eastAsia="Arial" w:hAnsi="Arial"/>
                <w:sz w:val="18"/>
                <w:szCs w:val="18"/>
                <w:color w:val="0000EE"/>
              </w:rPr>
            </w:pPr>
            <w:hyperlink w:anchor="page129">
              <w:r>
                <w:rPr>
                  <w:rFonts w:ascii="Arial" w:cs="Arial" w:eastAsia="Arial" w:hAnsi="Arial"/>
                  <w:sz w:val="18"/>
                  <w:szCs w:val="18"/>
                  <w:color w:val="0000EE"/>
                </w:rPr>
                <w:t>Organizational Structure</w:t>
              </w:r>
            </w:hyperlink>
          </w:p>
        </w:tc>
        <w:tc>
          <w:tcPr>
            <w:tcW w:w="45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D.</w:t>
            </w:r>
          </w:p>
        </w:tc>
        <w:tc>
          <w:tcPr>
            <w:tcW w:w="2280" w:type="dxa"/>
            <w:vAlign w:val="bottom"/>
            <w:tcBorders>
              <w:bottom w:val="single" w:sz="8" w:color="0000EE"/>
            </w:tcBorders>
            <w:gridSpan w:val="28"/>
            <w:shd w:val="clear" w:color="auto" w:fill="CCEEFF"/>
          </w:tcPr>
          <w:p>
            <w:pPr>
              <w:spacing w:after="0" w:line="176" w:lineRule="exact"/>
              <w:rPr>
                <w:rFonts w:ascii="Arial" w:cs="Arial" w:eastAsia="Arial" w:hAnsi="Arial"/>
                <w:sz w:val="18"/>
                <w:szCs w:val="18"/>
                <w:color w:val="0000EE"/>
                <w:w w:val="88"/>
              </w:rPr>
            </w:pPr>
            <w:hyperlink w:anchor="page129">
              <w:r>
                <w:rPr>
                  <w:rFonts w:ascii="Arial" w:cs="Arial" w:eastAsia="Arial" w:hAnsi="Arial"/>
                  <w:sz w:val="18"/>
                  <w:szCs w:val="18"/>
                  <w:color w:val="0000EE"/>
                  <w:w w:val="88"/>
                </w:rPr>
                <w:t>Property, Plants and Equipment</w:t>
              </w:r>
            </w:hyperlink>
          </w:p>
        </w:tc>
        <w:tc>
          <w:tcPr>
            <w:tcW w:w="3340" w:type="dxa"/>
            <w:vAlign w:val="bottom"/>
            <w:tcBorders>
              <w:bottom w:val="single" w:sz="8" w:color="CCEEFF"/>
            </w:tcBorders>
            <w:gridSpan w:val="21"/>
            <w:shd w:val="clear" w:color="auto" w:fill="CCEEFF"/>
          </w:tcPr>
          <w:p>
            <w:pPr>
              <w:spacing w:after="0"/>
              <w:rPr>
                <w:sz w:val="17"/>
                <w:szCs w:val="17"/>
                <w:color w:val="auto"/>
              </w:rPr>
            </w:pPr>
          </w:p>
        </w:tc>
        <w:tc>
          <w:tcPr>
            <w:tcW w:w="45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20" w:type="dxa"/>
            <w:vAlign w:val="bottom"/>
            <w:gridSpan w:val="2"/>
          </w:tcPr>
          <w:p>
            <w:pPr>
              <w:spacing w:after="0" w:line="176" w:lineRule="exact"/>
              <w:rPr>
                <w:sz w:val="20"/>
                <w:szCs w:val="20"/>
                <w:color w:val="auto"/>
              </w:rPr>
            </w:pPr>
            <w:r>
              <w:rPr>
                <w:rFonts w:ascii="Arial" w:cs="Arial" w:eastAsia="Arial" w:hAnsi="Arial"/>
                <w:sz w:val="18"/>
                <w:szCs w:val="18"/>
                <w:color w:val="auto"/>
              </w:rPr>
              <w:t>ITEM 4A.</w:t>
            </w:r>
          </w:p>
        </w:tc>
        <w:tc>
          <w:tcPr>
            <w:tcW w:w="5620" w:type="dxa"/>
            <w:vAlign w:val="bottom"/>
            <w:gridSpan w:val="49"/>
          </w:tcPr>
          <w:p>
            <w:pPr>
              <w:spacing w:after="0" w:line="176" w:lineRule="exact"/>
              <w:rPr>
                <w:rFonts w:ascii="Arial" w:cs="Arial" w:eastAsia="Arial" w:hAnsi="Arial"/>
                <w:sz w:val="18"/>
                <w:szCs w:val="18"/>
                <w:color w:val="0000EE"/>
              </w:rPr>
            </w:pPr>
            <w:hyperlink w:anchor="page129">
              <w:r>
                <w:rPr>
                  <w:rFonts w:ascii="Arial" w:cs="Arial" w:eastAsia="Arial" w:hAnsi="Arial"/>
                  <w:sz w:val="18"/>
                  <w:szCs w:val="18"/>
                  <w:color w:val="0000EE"/>
                </w:rPr>
                <w:t>UNRESOLVED STAFF COMMENTS</w:t>
              </w:r>
            </w:hyperlink>
          </w:p>
        </w:tc>
        <w:tc>
          <w:tcPr>
            <w:tcW w:w="45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4660" w:type="dxa"/>
            <w:vAlign w:val="bottom"/>
            <w:tcBorders>
              <w:bottom w:val="single" w:sz="8" w:color="0000EE"/>
            </w:tcBorders>
            <w:gridSpan w:val="45"/>
            <w:shd w:val="clear" w:color="auto" w:fill="CCEEFF"/>
          </w:tcPr>
          <w:p>
            <w:pPr>
              <w:spacing w:after="0" w:line="176" w:lineRule="exact"/>
              <w:rPr>
                <w:rFonts w:ascii="Arial" w:cs="Arial" w:eastAsia="Arial" w:hAnsi="Arial"/>
                <w:sz w:val="18"/>
                <w:szCs w:val="18"/>
                <w:color w:val="0000EE"/>
                <w:w w:val="96"/>
              </w:rPr>
            </w:pPr>
            <w:hyperlink w:anchor="page129">
              <w:r>
                <w:rPr>
                  <w:rFonts w:ascii="Arial" w:cs="Arial" w:eastAsia="Arial" w:hAnsi="Arial"/>
                  <w:sz w:val="18"/>
                  <w:szCs w:val="18"/>
                  <w:color w:val="0000EE"/>
                  <w:w w:val="96"/>
                </w:rPr>
                <w:t>OPERATING AND FINANCIAL REVIEW AND PROSPECTS</w:t>
              </w:r>
            </w:hyperlink>
          </w:p>
        </w:tc>
        <w:tc>
          <w:tcPr>
            <w:tcW w:w="960" w:type="dxa"/>
            <w:vAlign w:val="bottom"/>
            <w:tcBorders>
              <w:bottom w:val="single" w:sz="8" w:color="CCEEFF"/>
            </w:tcBorders>
            <w:gridSpan w:val="4"/>
            <w:shd w:val="clear" w:color="auto" w:fill="CCEEFF"/>
          </w:tcPr>
          <w:p>
            <w:pPr>
              <w:spacing w:after="0"/>
              <w:rPr>
                <w:sz w:val="17"/>
                <w:szCs w:val="17"/>
                <w:color w:val="auto"/>
              </w:rPr>
            </w:pPr>
          </w:p>
        </w:tc>
        <w:tc>
          <w:tcPr>
            <w:tcW w:w="45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580" w:type="dxa"/>
            <w:vAlign w:val="bottom"/>
          </w:tcPr>
          <w:p>
            <w:pPr>
              <w:ind w:left="20"/>
              <w:spacing w:after="0" w:line="176" w:lineRule="exact"/>
              <w:rPr>
                <w:sz w:val="20"/>
                <w:szCs w:val="20"/>
                <w:color w:val="auto"/>
              </w:rPr>
            </w:pPr>
            <w:r>
              <w:rPr>
                <w:rFonts w:ascii="Arial" w:cs="Arial" w:eastAsia="Arial" w:hAnsi="Arial"/>
                <w:sz w:val="18"/>
                <w:szCs w:val="18"/>
                <w:color w:val="auto"/>
              </w:rPr>
              <w:t>A.</w:t>
            </w:r>
          </w:p>
        </w:tc>
        <w:tc>
          <w:tcPr>
            <w:tcW w:w="5620" w:type="dxa"/>
            <w:vAlign w:val="bottom"/>
            <w:gridSpan w:val="49"/>
          </w:tcPr>
          <w:p>
            <w:pPr>
              <w:spacing w:after="0" w:line="176" w:lineRule="exact"/>
              <w:rPr>
                <w:rFonts w:ascii="Arial" w:cs="Arial" w:eastAsia="Arial" w:hAnsi="Arial"/>
                <w:sz w:val="18"/>
                <w:szCs w:val="18"/>
                <w:color w:val="0000EE"/>
              </w:rPr>
            </w:pPr>
            <w:hyperlink w:anchor="page130">
              <w:r>
                <w:rPr>
                  <w:rFonts w:ascii="Arial" w:cs="Arial" w:eastAsia="Arial" w:hAnsi="Arial"/>
                  <w:sz w:val="18"/>
                  <w:szCs w:val="18"/>
                  <w:color w:val="0000EE"/>
                </w:rPr>
                <w:t>Operating Results</w:t>
              </w:r>
            </w:hyperlink>
          </w:p>
        </w:tc>
        <w:tc>
          <w:tcPr>
            <w:tcW w:w="45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B.</w:t>
            </w:r>
          </w:p>
        </w:tc>
        <w:tc>
          <w:tcPr>
            <w:tcW w:w="2320" w:type="dxa"/>
            <w:vAlign w:val="bottom"/>
            <w:tcBorders>
              <w:bottom w:val="single" w:sz="8" w:color="0000EE"/>
            </w:tcBorders>
            <w:gridSpan w:val="30"/>
            <w:shd w:val="clear" w:color="auto" w:fill="CCEEFF"/>
          </w:tcPr>
          <w:p>
            <w:pPr>
              <w:spacing w:after="0" w:line="176" w:lineRule="exact"/>
              <w:rPr>
                <w:rFonts w:ascii="Arial" w:cs="Arial" w:eastAsia="Arial" w:hAnsi="Arial"/>
                <w:sz w:val="18"/>
                <w:szCs w:val="18"/>
                <w:color w:val="0000EE"/>
                <w:w w:val="90"/>
              </w:rPr>
            </w:pPr>
            <w:hyperlink w:anchor="page136">
              <w:r>
                <w:rPr>
                  <w:rFonts w:ascii="Arial" w:cs="Arial" w:eastAsia="Arial" w:hAnsi="Arial"/>
                  <w:sz w:val="18"/>
                  <w:szCs w:val="18"/>
                  <w:color w:val="0000EE"/>
                  <w:w w:val="90"/>
                </w:rPr>
                <w:t>Liquidity and Capital Resources</w:t>
              </w:r>
            </w:hyperlink>
          </w:p>
        </w:tc>
        <w:tc>
          <w:tcPr>
            <w:tcW w:w="3300" w:type="dxa"/>
            <w:vAlign w:val="bottom"/>
            <w:tcBorders>
              <w:bottom w:val="single" w:sz="8" w:color="CCEEFF"/>
            </w:tcBorders>
            <w:gridSpan w:val="19"/>
            <w:shd w:val="clear" w:color="auto" w:fill="CCEEFF"/>
          </w:tcPr>
          <w:p>
            <w:pPr>
              <w:spacing w:after="0"/>
              <w:rPr>
                <w:sz w:val="17"/>
                <w:szCs w:val="17"/>
                <w:color w:val="auto"/>
              </w:rPr>
            </w:pPr>
          </w:p>
        </w:tc>
        <w:tc>
          <w:tcPr>
            <w:tcW w:w="45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580" w:type="dxa"/>
            <w:vAlign w:val="bottom"/>
          </w:tcPr>
          <w:p>
            <w:pPr>
              <w:ind w:left="20"/>
              <w:spacing w:after="0" w:line="176" w:lineRule="exact"/>
              <w:rPr>
                <w:sz w:val="20"/>
                <w:szCs w:val="20"/>
                <w:color w:val="auto"/>
              </w:rPr>
            </w:pPr>
            <w:r>
              <w:rPr>
                <w:rFonts w:ascii="Arial" w:cs="Arial" w:eastAsia="Arial" w:hAnsi="Arial"/>
                <w:sz w:val="18"/>
                <w:szCs w:val="18"/>
                <w:color w:val="auto"/>
              </w:rPr>
              <w:t>C.</w:t>
            </w:r>
          </w:p>
        </w:tc>
        <w:tc>
          <w:tcPr>
            <w:tcW w:w="5620" w:type="dxa"/>
            <w:vAlign w:val="bottom"/>
            <w:gridSpan w:val="49"/>
          </w:tcPr>
          <w:p>
            <w:pPr>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Research and Development, Patents and Licenses, etc.</w:t>
              </w:r>
            </w:hyperlink>
          </w:p>
        </w:tc>
        <w:tc>
          <w:tcPr>
            <w:tcW w:w="45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0" w:type="dxa"/>
            <w:vAlign w:val="bottom"/>
            <w:shd w:val="clear" w:color="auto" w:fill="CCEEFF"/>
          </w:tcPr>
          <w:p>
            <w:pPr>
              <w:spacing w:after="0"/>
              <w:rPr>
                <w:sz w:val="15"/>
                <w:szCs w:val="15"/>
                <w:color w:val="auto"/>
              </w:rPr>
            </w:pPr>
          </w:p>
        </w:tc>
        <w:tc>
          <w:tcPr>
            <w:tcW w:w="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w:t>
            </w:r>
          </w:p>
        </w:tc>
        <w:tc>
          <w:tcPr>
            <w:tcW w:w="5620" w:type="dxa"/>
            <w:vAlign w:val="bottom"/>
            <w:gridSpan w:val="49"/>
            <w:shd w:val="clear" w:color="auto" w:fill="CCEEFF"/>
          </w:tcPr>
          <w:p>
            <w:pPr>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Trend Information</w:t>
              </w:r>
            </w:hyperlink>
          </w:p>
        </w:tc>
        <w:tc>
          <w:tcPr>
            <w:tcW w:w="45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0" w:type="dxa"/>
            <w:vAlign w:val="bottom"/>
          </w:tcPr>
          <w:p>
            <w:pPr>
              <w:spacing w:after="0"/>
              <w:rPr>
                <w:sz w:val="15"/>
                <w:szCs w:val="15"/>
                <w:color w:val="auto"/>
              </w:rPr>
            </w:pPr>
          </w:p>
        </w:tc>
        <w:tc>
          <w:tcPr>
            <w:tcW w:w="580" w:type="dxa"/>
            <w:vAlign w:val="bottom"/>
          </w:tcPr>
          <w:p>
            <w:pPr>
              <w:ind w:left="20"/>
              <w:spacing w:after="0" w:line="176" w:lineRule="exact"/>
              <w:rPr>
                <w:sz w:val="20"/>
                <w:szCs w:val="20"/>
                <w:color w:val="auto"/>
              </w:rPr>
            </w:pPr>
            <w:r>
              <w:rPr>
                <w:rFonts w:ascii="Arial" w:cs="Arial" w:eastAsia="Arial" w:hAnsi="Arial"/>
                <w:sz w:val="18"/>
                <w:szCs w:val="18"/>
                <w:color w:val="auto"/>
              </w:rPr>
              <w:t>E.</w:t>
            </w:r>
          </w:p>
        </w:tc>
        <w:tc>
          <w:tcPr>
            <w:tcW w:w="5620" w:type="dxa"/>
            <w:vAlign w:val="bottom"/>
            <w:gridSpan w:val="49"/>
          </w:tcPr>
          <w:p>
            <w:pPr>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Critical Accounting Estimates</w:t>
              </w:r>
            </w:hyperlink>
          </w:p>
        </w:tc>
        <w:tc>
          <w:tcPr>
            <w:tcW w:w="45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4620" w:type="dxa"/>
            <w:vAlign w:val="bottom"/>
            <w:tcBorders>
              <w:bottom w:val="single" w:sz="8" w:color="0000EE"/>
            </w:tcBorders>
            <w:gridSpan w:val="44"/>
            <w:shd w:val="clear" w:color="auto" w:fill="CCEEFF"/>
          </w:tcPr>
          <w:p>
            <w:pPr>
              <w:spacing w:after="0" w:line="176" w:lineRule="exact"/>
              <w:rPr>
                <w:rFonts w:ascii="Arial" w:cs="Arial" w:eastAsia="Arial" w:hAnsi="Arial"/>
                <w:sz w:val="18"/>
                <w:szCs w:val="18"/>
                <w:color w:val="0000EE"/>
                <w:w w:val="96"/>
              </w:rPr>
            </w:pPr>
            <w:hyperlink w:anchor="page140">
              <w:r>
                <w:rPr>
                  <w:rFonts w:ascii="Arial" w:cs="Arial" w:eastAsia="Arial" w:hAnsi="Arial"/>
                  <w:sz w:val="18"/>
                  <w:szCs w:val="18"/>
                  <w:color w:val="0000EE"/>
                  <w:w w:val="96"/>
                </w:rPr>
                <w:t>DIRECTORS, SENIOR MANAGEMENT AND EMPLOYEES</w:t>
              </w:r>
            </w:hyperlink>
          </w:p>
        </w:tc>
        <w:tc>
          <w:tcPr>
            <w:tcW w:w="1000" w:type="dxa"/>
            <w:vAlign w:val="bottom"/>
            <w:tcBorders>
              <w:bottom w:val="single" w:sz="8" w:color="CCEEFF"/>
            </w:tcBorders>
            <w:gridSpan w:val="5"/>
            <w:shd w:val="clear" w:color="auto" w:fill="CCEEFF"/>
          </w:tcPr>
          <w:p>
            <w:pPr>
              <w:spacing w:after="0"/>
              <w:rPr>
                <w:sz w:val="17"/>
                <w:szCs w:val="17"/>
                <w:color w:val="auto"/>
              </w:rPr>
            </w:pPr>
          </w:p>
        </w:tc>
        <w:tc>
          <w:tcPr>
            <w:tcW w:w="45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580" w:type="dxa"/>
            <w:vAlign w:val="bottom"/>
          </w:tcPr>
          <w:p>
            <w:pPr>
              <w:ind w:left="20"/>
              <w:spacing w:after="0" w:line="176" w:lineRule="exact"/>
              <w:rPr>
                <w:sz w:val="20"/>
                <w:szCs w:val="20"/>
                <w:color w:val="auto"/>
              </w:rPr>
            </w:pPr>
            <w:r>
              <w:rPr>
                <w:rFonts w:ascii="Arial" w:cs="Arial" w:eastAsia="Arial" w:hAnsi="Arial"/>
                <w:sz w:val="18"/>
                <w:szCs w:val="18"/>
                <w:color w:val="auto"/>
              </w:rPr>
              <w:t>A.</w:t>
            </w:r>
          </w:p>
        </w:tc>
        <w:tc>
          <w:tcPr>
            <w:tcW w:w="5620" w:type="dxa"/>
            <w:vAlign w:val="bottom"/>
            <w:gridSpan w:val="49"/>
          </w:tcPr>
          <w:p>
            <w:pPr>
              <w:spacing w:after="0" w:line="176" w:lineRule="exact"/>
              <w:rPr>
                <w:rFonts w:ascii="Arial" w:cs="Arial" w:eastAsia="Arial" w:hAnsi="Arial"/>
                <w:sz w:val="18"/>
                <w:szCs w:val="18"/>
                <w:color w:val="0000EE"/>
              </w:rPr>
            </w:pPr>
            <w:hyperlink w:anchor="page140">
              <w:r>
                <w:rPr>
                  <w:rFonts w:ascii="Arial" w:cs="Arial" w:eastAsia="Arial" w:hAnsi="Arial"/>
                  <w:sz w:val="18"/>
                  <w:szCs w:val="18"/>
                  <w:color w:val="0000EE"/>
                </w:rPr>
                <w:t>Directors and Senior Management</w:t>
              </w:r>
            </w:hyperlink>
          </w:p>
        </w:tc>
        <w:tc>
          <w:tcPr>
            <w:tcW w:w="45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B.</w:t>
            </w:r>
          </w:p>
        </w:tc>
        <w:tc>
          <w:tcPr>
            <w:tcW w:w="104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7"/>
              </w:rPr>
            </w:pPr>
            <w:hyperlink w:anchor="page141">
              <w:r>
                <w:rPr>
                  <w:rFonts w:ascii="Arial" w:cs="Arial" w:eastAsia="Arial" w:hAnsi="Arial"/>
                  <w:sz w:val="18"/>
                  <w:szCs w:val="18"/>
                  <w:color w:val="0000EE"/>
                  <w:w w:val="87"/>
                </w:rPr>
                <w:t>Compensation</w:t>
              </w:r>
            </w:hyperlink>
          </w:p>
        </w:tc>
        <w:tc>
          <w:tcPr>
            <w:tcW w:w="4580" w:type="dxa"/>
            <w:vAlign w:val="bottom"/>
            <w:tcBorders>
              <w:bottom w:val="single" w:sz="8" w:color="CCEEFF"/>
            </w:tcBorders>
            <w:gridSpan w:val="41"/>
            <w:shd w:val="clear" w:color="auto" w:fill="CCEEFF"/>
          </w:tcPr>
          <w:p>
            <w:pPr>
              <w:spacing w:after="0"/>
              <w:rPr>
                <w:sz w:val="17"/>
                <w:szCs w:val="17"/>
                <w:color w:val="auto"/>
              </w:rPr>
            </w:pPr>
          </w:p>
        </w:tc>
        <w:tc>
          <w:tcPr>
            <w:tcW w:w="45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580" w:type="dxa"/>
            <w:vAlign w:val="bottom"/>
          </w:tcPr>
          <w:p>
            <w:pPr>
              <w:ind w:left="20"/>
              <w:spacing w:after="0" w:line="176" w:lineRule="exact"/>
              <w:rPr>
                <w:sz w:val="20"/>
                <w:szCs w:val="20"/>
                <w:color w:val="auto"/>
              </w:rPr>
            </w:pPr>
            <w:r>
              <w:rPr>
                <w:rFonts w:ascii="Arial" w:cs="Arial" w:eastAsia="Arial" w:hAnsi="Arial"/>
                <w:sz w:val="18"/>
                <w:szCs w:val="18"/>
                <w:color w:val="auto"/>
              </w:rPr>
              <w:t>C.</w:t>
            </w:r>
          </w:p>
        </w:tc>
        <w:tc>
          <w:tcPr>
            <w:tcW w:w="5620" w:type="dxa"/>
            <w:vAlign w:val="bottom"/>
            <w:gridSpan w:val="49"/>
          </w:tcPr>
          <w:p>
            <w:pPr>
              <w:spacing w:after="0" w:line="176" w:lineRule="exact"/>
              <w:rPr>
                <w:rFonts w:ascii="Arial" w:cs="Arial" w:eastAsia="Arial" w:hAnsi="Arial"/>
                <w:sz w:val="18"/>
                <w:szCs w:val="18"/>
                <w:color w:val="0000EE"/>
              </w:rPr>
            </w:pPr>
            <w:hyperlink w:anchor="page143">
              <w:r>
                <w:rPr>
                  <w:rFonts w:ascii="Arial" w:cs="Arial" w:eastAsia="Arial" w:hAnsi="Arial"/>
                  <w:sz w:val="18"/>
                  <w:szCs w:val="18"/>
                  <w:color w:val="0000EE"/>
                </w:rPr>
                <w:t>Board Practices</w:t>
              </w:r>
            </w:hyperlink>
          </w:p>
        </w:tc>
        <w:tc>
          <w:tcPr>
            <w:tcW w:w="45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D.</w:t>
            </w:r>
          </w:p>
        </w:tc>
        <w:tc>
          <w:tcPr>
            <w:tcW w:w="8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7"/>
              </w:rPr>
            </w:pPr>
            <w:hyperlink w:anchor="page145">
              <w:r>
                <w:rPr>
                  <w:rFonts w:ascii="Arial" w:cs="Arial" w:eastAsia="Arial" w:hAnsi="Arial"/>
                  <w:sz w:val="18"/>
                  <w:szCs w:val="18"/>
                  <w:color w:val="0000EE"/>
                  <w:w w:val="87"/>
                </w:rPr>
                <w:t>Employees</w:t>
              </w:r>
            </w:hyperlink>
          </w:p>
        </w:tc>
        <w:tc>
          <w:tcPr>
            <w:tcW w:w="4820" w:type="dxa"/>
            <w:vAlign w:val="bottom"/>
            <w:tcBorders>
              <w:bottom w:val="single" w:sz="8" w:color="CCEEFF"/>
            </w:tcBorders>
            <w:gridSpan w:val="44"/>
            <w:shd w:val="clear" w:color="auto" w:fill="CCEEFF"/>
          </w:tcPr>
          <w:p>
            <w:pPr>
              <w:spacing w:after="0"/>
              <w:rPr>
                <w:sz w:val="17"/>
                <w:szCs w:val="17"/>
                <w:color w:val="auto"/>
              </w:rPr>
            </w:pPr>
          </w:p>
        </w:tc>
        <w:tc>
          <w:tcPr>
            <w:tcW w:w="45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580" w:type="dxa"/>
            <w:vAlign w:val="bottom"/>
          </w:tcPr>
          <w:p>
            <w:pPr>
              <w:ind w:left="20"/>
              <w:spacing w:after="0" w:line="176" w:lineRule="exact"/>
              <w:rPr>
                <w:sz w:val="20"/>
                <w:szCs w:val="20"/>
                <w:color w:val="auto"/>
              </w:rPr>
            </w:pPr>
            <w:r>
              <w:rPr>
                <w:rFonts w:ascii="Arial" w:cs="Arial" w:eastAsia="Arial" w:hAnsi="Arial"/>
                <w:sz w:val="18"/>
                <w:szCs w:val="18"/>
                <w:color w:val="auto"/>
              </w:rPr>
              <w:t>E.</w:t>
            </w:r>
          </w:p>
        </w:tc>
        <w:tc>
          <w:tcPr>
            <w:tcW w:w="5620" w:type="dxa"/>
            <w:vAlign w:val="bottom"/>
            <w:gridSpan w:val="49"/>
          </w:tcPr>
          <w:p>
            <w:pPr>
              <w:spacing w:after="0" w:line="176" w:lineRule="exact"/>
              <w:rPr>
                <w:rFonts w:ascii="Arial" w:cs="Arial" w:eastAsia="Arial" w:hAnsi="Arial"/>
                <w:sz w:val="18"/>
                <w:szCs w:val="18"/>
                <w:color w:val="0000EE"/>
              </w:rPr>
            </w:pPr>
            <w:hyperlink w:anchor="page145">
              <w:r>
                <w:rPr>
                  <w:rFonts w:ascii="Arial" w:cs="Arial" w:eastAsia="Arial" w:hAnsi="Arial"/>
                  <w:sz w:val="18"/>
                  <w:szCs w:val="18"/>
                  <w:color w:val="0000EE"/>
                </w:rPr>
                <w:t>Share Ownership</w:t>
              </w:r>
            </w:hyperlink>
          </w:p>
        </w:tc>
        <w:tc>
          <w:tcPr>
            <w:tcW w:w="45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5380" w:type="dxa"/>
            <w:vAlign w:val="bottom"/>
            <w:tcBorders>
              <w:bottom w:val="single" w:sz="8" w:color="0000EE"/>
            </w:tcBorders>
            <w:gridSpan w:val="47"/>
            <w:shd w:val="clear" w:color="auto" w:fill="CCEEFF"/>
          </w:tcPr>
          <w:p>
            <w:pPr>
              <w:spacing w:after="0" w:line="176" w:lineRule="exact"/>
              <w:rPr>
                <w:rFonts w:ascii="Arial" w:cs="Arial" w:eastAsia="Arial" w:hAnsi="Arial"/>
                <w:sz w:val="18"/>
                <w:szCs w:val="18"/>
                <w:color w:val="0000EE"/>
                <w:w w:val="95"/>
              </w:rPr>
            </w:pPr>
            <w:hyperlink w:anchor="page145">
              <w:r>
                <w:rPr>
                  <w:rFonts w:ascii="Arial" w:cs="Arial" w:eastAsia="Arial" w:hAnsi="Arial"/>
                  <w:sz w:val="18"/>
                  <w:szCs w:val="18"/>
                  <w:color w:val="0000EE"/>
                  <w:w w:val="95"/>
                </w:rPr>
                <w:t>MAJOR SHAREHOLDERS AND RELATED PARTY TRANSACTIONS</w:t>
              </w:r>
            </w:hyperlink>
          </w:p>
        </w:tc>
        <w:tc>
          <w:tcPr>
            <w:tcW w:w="240" w:type="dxa"/>
            <w:vAlign w:val="bottom"/>
            <w:tcBorders>
              <w:bottom w:val="single" w:sz="8" w:color="CCEEFF"/>
            </w:tcBorders>
            <w:gridSpan w:val="2"/>
            <w:shd w:val="clear" w:color="auto" w:fill="CCEEFF"/>
          </w:tcPr>
          <w:p>
            <w:pPr>
              <w:spacing w:after="0"/>
              <w:rPr>
                <w:sz w:val="17"/>
                <w:szCs w:val="17"/>
                <w:color w:val="auto"/>
              </w:rPr>
            </w:pPr>
          </w:p>
        </w:tc>
        <w:tc>
          <w:tcPr>
            <w:tcW w:w="45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580" w:type="dxa"/>
            <w:vAlign w:val="bottom"/>
          </w:tcPr>
          <w:p>
            <w:pPr>
              <w:ind w:left="20"/>
              <w:spacing w:after="0" w:line="176" w:lineRule="exact"/>
              <w:rPr>
                <w:sz w:val="20"/>
                <w:szCs w:val="20"/>
                <w:color w:val="auto"/>
              </w:rPr>
            </w:pPr>
            <w:r>
              <w:rPr>
                <w:rFonts w:ascii="Arial" w:cs="Arial" w:eastAsia="Arial" w:hAnsi="Arial"/>
                <w:sz w:val="18"/>
                <w:szCs w:val="18"/>
                <w:color w:val="auto"/>
              </w:rPr>
              <w:t>A.</w:t>
            </w:r>
          </w:p>
        </w:tc>
        <w:tc>
          <w:tcPr>
            <w:tcW w:w="5620" w:type="dxa"/>
            <w:vAlign w:val="bottom"/>
            <w:gridSpan w:val="49"/>
          </w:tcPr>
          <w:p>
            <w:pPr>
              <w:spacing w:after="0" w:line="176" w:lineRule="exact"/>
              <w:rPr>
                <w:rFonts w:ascii="Arial" w:cs="Arial" w:eastAsia="Arial" w:hAnsi="Arial"/>
                <w:sz w:val="18"/>
                <w:szCs w:val="18"/>
                <w:color w:val="0000EE"/>
              </w:rPr>
            </w:pPr>
            <w:hyperlink w:anchor="page145">
              <w:r>
                <w:rPr>
                  <w:rFonts w:ascii="Arial" w:cs="Arial" w:eastAsia="Arial" w:hAnsi="Arial"/>
                  <w:sz w:val="18"/>
                  <w:szCs w:val="18"/>
                  <w:color w:val="0000EE"/>
                </w:rPr>
                <w:t>Major Shareholders</w:t>
              </w:r>
            </w:hyperlink>
          </w:p>
        </w:tc>
        <w:tc>
          <w:tcPr>
            <w:tcW w:w="45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0" w:type="dxa"/>
            <w:vAlign w:val="bottom"/>
            <w:shd w:val="clear" w:color="auto" w:fill="CCEEFF"/>
          </w:tcPr>
          <w:p>
            <w:pPr>
              <w:spacing w:after="0"/>
              <w:rPr>
                <w:sz w:val="15"/>
                <w:szCs w:val="15"/>
                <w:color w:val="auto"/>
              </w:rPr>
            </w:pPr>
          </w:p>
        </w:tc>
        <w:tc>
          <w:tcPr>
            <w:tcW w:w="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B.</w:t>
            </w:r>
          </w:p>
        </w:tc>
        <w:tc>
          <w:tcPr>
            <w:tcW w:w="5620" w:type="dxa"/>
            <w:vAlign w:val="bottom"/>
            <w:gridSpan w:val="49"/>
            <w:shd w:val="clear" w:color="auto" w:fill="CCEEFF"/>
          </w:tcPr>
          <w:p>
            <w:pPr>
              <w:spacing w:after="0" w:line="176" w:lineRule="exact"/>
              <w:rPr>
                <w:rFonts w:ascii="Arial" w:cs="Arial" w:eastAsia="Arial" w:hAnsi="Arial"/>
                <w:sz w:val="18"/>
                <w:szCs w:val="18"/>
                <w:color w:val="0000EE"/>
              </w:rPr>
            </w:pPr>
            <w:hyperlink w:anchor="page146">
              <w:r>
                <w:rPr>
                  <w:rFonts w:ascii="Arial" w:cs="Arial" w:eastAsia="Arial" w:hAnsi="Arial"/>
                  <w:sz w:val="18"/>
                  <w:szCs w:val="18"/>
                  <w:color w:val="0000EE"/>
                </w:rPr>
                <w:t>Related Party Transactions</w:t>
              </w:r>
            </w:hyperlink>
          </w:p>
        </w:tc>
        <w:tc>
          <w:tcPr>
            <w:tcW w:w="45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0" w:type="dxa"/>
            <w:vAlign w:val="bottom"/>
          </w:tcPr>
          <w:p>
            <w:pPr>
              <w:spacing w:after="0"/>
              <w:rPr>
                <w:sz w:val="15"/>
                <w:szCs w:val="15"/>
                <w:color w:val="auto"/>
              </w:rPr>
            </w:pPr>
          </w:p>
        </w:tc>
        <w:tc>
          <w:tcPr>
            <w:tcW w:w="580" w:type="dxa"/>
            <w:vAlign w:val="bottom"/>
          </w:tcPr>
          <w:p>
            <w:pPr>
              <w:ind w:left="20"/>
              <w:spacing w:after="0" w:line="176" w:lineRule="exact"/>
              <w:rPr>
                <w:sz w:val="20"/>
                <w:szCs w:val="20"/>
                <w:color w:val="auto"/>
              </w:rPr>
            </w:pPr>
            <w:r>
              <w:rPr>
                <w:rFonts w:ascii="Arial" w:cs="Arial" w:eastAsia="Arial" w:hAnsi="Arial"/>
                <w:sz w:val="18"/>
                <w:szCs w:val="18"/>
                <w:color w:val="auto"/>
              </w:rPr>
              <w:t>C.</w:t>
            </w:r>
          </w:p>
        </w:tc>
        <w:tc>
          <w:tcPr>
            <w:tcW w:w="5620" w:type="dxa"/>
            <w:vAlign w:val="bottom"/>
            <w:gridSpan w:val="49"/>
          </w:tcPr>
          <w:p>
            <w:pPr>
              <w:spacing w:after="0" w:line="176" w:lineRule="exact"/>
              <w:rPr>
                <w:rFonts w:ascii="Arial" w:cs="Arial" w:eastAsia="Arial" w:hAnsi="Arial"/>
                <w:sz w:val="18"/>
                <w:szCs w:val="18"/>
                <w:color w:val="0000EE"/>
              </w:rPr>
            </w:pPr>
            <w:hyperlink w:anchor="page148">
              <w:r>
                <w:rPr>
                  <w:rFonts w:ascii="Arial" w:cs="Arial" w:eastAsia="Arial" w:hAnsi="Arial"/>
                  <w:sz w:val="18"/>
                  <w:szCs w:val="18"/>
                  <w:color w:val="0000EE"/>
                </w:rPr>
                <w:t>Interests of Experts and Counsel</w:t>
              </w:r>
            </w:hyperlink>
          </w:p>
        </w:tc>
        <w:tc>
          <w:tcPr>
            <w:tcW w:w="45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5620" w:type="dxa"/>
            <w:vAlign w:val="bottom"/>
            <w:gridSpan w:val="49"/>
            <w:shd w:val="clear" w:color="auto" w:fill="CCEEFF"/>
          </w:tcPr>
          <w:p>
            <w:pPr>
              <w:spacing w:after="0" w:line="176" w:lineRule="exact"/>
              <w:rPr>
                <w:rFonts w:ascii="Arial" w:cs="Arial" w:eastAsia="Arial" w:hAnsi="Arial"/>
                <w:sz w:val="18"/>
                <w:szCs w:val="18"/>
                <w:color w:val="0000EE"/>
              </w:rPr>
            </w:pPr>
            <w:hyperlink w:anchor="page148">
              <w:r>
                <w:rPr>
                  <w:rFonts w:ascii="Arial" w:cs="Arial" w:eastAsia="Arial" w:hAnsi="Arial"/>
                  <w:sz w:val="18"/>
                  <w:szCs w:val="18"/>
                  <w:color w:val="0000EE"/>
                </w:rPr>
                <w:t>FINANCIAL INFORMATION</w:t>
              </w:r>
            </w:hyperlink>
          </w:p>
        </w:tc>
        <w:tc>
          <w:tcPr>
            <w:tcW w:w="45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0" w:type="dxa"/>
            <w:vAlign w:val="bottom"/>
          </w:tcPr>
          <w:p>
            <w:pPr>
              <w:spacing w:after="0"/>
              <w:rPr>
                <w:sz w:val="15"/>
                <w:szCs w:val="15"/>
                <w:color w:val="auto"/>
              </w:rPr>
            </w:pPr>
          </w:p>
        </w:tc>
        <w:tc>
          <w:tcPr>
            <w:tcW w:w="580" w:type="dxa"/>
            <w:vAlign w:val="bottom"/>
          </w:tcPr>
          <w:p>
            <w:pPr>
              <w:ind w:left="20"/>
              <w:spacing w:after="0" w:line="176" w:lineRule="exact"/>
              <w:rPr>
                <w:sz w:val="20"/>
                <w:szCs w:val="20"/>
                <w:color w:val="auto"/>
              </w:rPr>
            </w:pPr>
            <w:r>
              <w:rPr>
                <w:rFonts w:ascii="Arial" w:cs="Arial" w:eastAsia="Arial" w:hAnsi="Arial"/>
                <w:sz w:val="18"/>
                <w:szCs w:val="18"/>
                <w:color w:val="auto"/>
              </w:rPr>
              <w:t>A.</w:t>
            </w:r>
          </w:p>
        </w:tc>
        <w:tc>
          <w:tcPr>
            <w:tcW w:w="5620" w:type="dxa"/>
            <w:vAlign w:val="bottom"/>
            <w:gridSpan w:val="49"/>
          </w:tcPr>
          <w:p>
            <w:pPr>
              <w:spacing w:after="0" w:line="176" w:lineRule="exact"/>
              <w:rPr>
                <w:rFonts w:ascii="Arial" w:cs="Arial" w:eastAsia="Arial" w:hAnsi="Arial"/>
                <w:sz w:val="18"/>
                <w:szCs w:val="18"/>
                <w:color w:val="0000EE"/>
              </w:rPr>
            </w:pPr>
            <w:hyperlink w:anchor="page148">
              <w:r>
                <w:rPr>
                  <w:rFonts w:ascii="Arial" w:cs="Arial" w:eastAsia="Arial" w:hAnsi="Arial"/>
                  <w:sz w:val="18"/>
                  <w:szCs w:val="18"/>
                  <w:color w:val="0000EE"/>
                </w:rPr>
                <w:t>Consolidated Statements and Other Financial Information</w:t>
              </w:r>
            </w:hyperlink>
          </w:p>
        </w:tc>
        <w:tc>
          <w:tcPr>
            <w:tcW w:w="45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0" w:type="dxa"/>
            <w:vAlign w:val="bottom"/>
            <w:shd w:val="clear" w:color="auto" w:fill="CCEEFF"/>
          </w:tcPr>
          <w:p>
            <w:pPr>
              <w:spacing w:after="0"/>
              <w:rPr>
                <w:sz w:val="15"/>
                <w:szCs w:val="15"/>
                <w:color w:val="auto"/>
              </w:rPr>
            </w:pPr>
          </w:p>
        </w:tc>
        <w:tc>
          <w:tcPr>
            <w:tcW w:w="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B.</w:t>
            </w:r>
          </w:p>
        </w:tc>
        <w:tc>
          <w:tcPr>
            <w:tcW w:w="5620" w:type="dxa"/>
            <w:vAlign w:val="bottom"/>
            <w:gridSpan w:val="49"/>
            <w:shd w:val="clear" w:color="auto" w:fill="CCEEFF"/>
          </w:tcPr>
          <w:p>
            <w:pPr>
              <w:spacing w:after="0" w:line="176" w:lineRule="exact"/>
              <w:rPr>
                <w:rFonts w:ascii="Arial" w:cs="Arial" w:eastAsia="Arial" w:hAnsi="Arial"/>
                <w:sz w:val="18"/>
                <w:szCs w:val="18"/>
                <w:color w:val="0000EE"/>
              </w:rPr>
            </w:pPr>
            <w:hyperlink w:anchor="page149">
              <w:r>
                <w:rPr>
                  <w:rFonts w:ascii="Arial" w:cs="Arial" w:eastAsia="Arial" w:hAnsi="Arial"/>
                  <w:sz w:val="18"/>
                  <w:szCs w:val="18"/>
                  <w:color w:val="0000EE"/>
                </w:rPr>
                <w:t>Significant Changes</w:t>
              </w:r>
            </w:hyperlink>
          </w:p>
        </w:tc>
        <w:tc>
          <w:tcPr>
            <w:tcW w:w="45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20" w:type="dxa"/>
            <w:vAlign w:val="bottom"/>
            <w:gridSpan w:val="2"/>
          </w:tcPr>
          <w:p>
            <w:pPr>
              <w:spacing w:after="0" w:line="176" w:lineRule="exact"/>
              <w:rPr>
                <w:sz w:val="20"/>
                <w:szCs w:val="20"/>
                <w:color w:val="auto"/>
              </w:rPr>
            </w:pPr>
            <w:r>
              <w:rPr>
                <w:rFonts w:ascii="Arial" w:cs="Arial" w:eastAsia="Arial" w:hAnsi="Arial"/>
                <w:sz w:val="18"/>
                <w:szCs w:val="18"/>
                <w:color w:val="auto"/>
              </w:rPr>
              <w:t>ITEM 9.</w:t>
            </w:r>
          </w:p>
        </w:tc>
        <w:tc>
          <w:tcPr>
            <w:tcW w:w="5620" w:type="dxa"/>
            <w:vAlign w:val="bottom"/>
            <w:gridSpan w:val="49"/>
          </w:tcPr>
          <w:p>
            <w:pPr>
              <w:spacing w:after="0" w:line="176" w:lineRule="exact"/>
              <w:rPr>
                <w:rFonts w:ascii="Arial" w:cs="Arial" w:eastAsia="Arial" w:hAnsi="Arial"/>
                <w:sz w:val="18"/>
                <w:szCs w:val="18"/>
                <w:color w:val="0000EE"/>
              </w:rPr>
            </w:pPr>
            <w:hyperlink w:anchor="page149">
              <w:r>
                <w:rPr>
                  <w:rFonts w:ascii="Arial" w:cs="Arial" w:eastAsia="Arial" w:hAnsi="Arial"/>
                  <w:sz w:val="18"/>
                  <w:szCs w:val="18"/>
                  <w:color w:val="0000EE"/>
                </w:rPr>
                <w:t>THE OFFER AND LISTING</w:t>
              </w:r>
            </w:hyperlink>
          </w:p>
        </w:tc>
        <w:tc>
          <w:tcPr>
            <w:tcW w:w="45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w:t>
            </w:r>
          </w:p>
        </w:tc>
        <w:tc>
          <w:tcPr>
            <w:tcW w:w="5620" w:type="dxa"/>
            <w:vAlign w:val="bottom"/>
            <w:gridSpan w:val="49"/>
            <w:shd w:val="clear" w:color="auto" w:fill="CCEEFF"/>
          </w:tcPr>
          <w:p>
            <w:pPr>
              <w:spacing w:after="0" w:line="176" w:lineRule="exact"/>
              <w:rPr>
                <w:rFonts w:ascii="Arial" w:cs="Arial" w:eastAsia="Arial" w:hAnsi="Arial"/>
                <w:sz w:val="18"/>
                <w:szCs w:val="18"/>
                <w:color w:val="0000EE"/>
              </w:rPr>
            </w:pPr>
            <w:hyperlink w:anchor="page149">
              <w:r>
                <w:rPr>
                  <w:rFonts w:ascii="Arial" w:cs="Arial" w:eastAsia="Arial" w:hAnsi="Arial"/>
                  <w:sz w:val="18"/>
                  <w:szCs w:val="18"/>
                  <w:color w:val="0000EE"/>
                </w:rPr>
                <w:t>Offering and Listing Details</w:t>
              </w:r>
            </w:hyperlink>
          </w:p>
        </w:tc>
        <w:tc>
          <w:tcPr>
            <w:tcW w:w="45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4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ind w:left="20"/>
              <w:spacing w:after="0" w:line="176" w:lineRule="exact"/>
              <w:rPr>
                <w:sz w:val="20"/>
                <w:szCs w:val="20"/>
                <w:color w:val="auto"/>
              </w:rPr>
            </w:pPr>
            <w:r>
              <w:rPr>
                <w:rFonts w:ascii="Arial" w:cs="Arial" w:eastAsia="Arial" w:hAnsi="Arial"/>
                <w:sz w:val="18"/>
                <w:szCs w:val="18"/>
                <w:color w:val="auto"/>
              </w:rPr>
              <w:t>B.</w:t>
            </w:r>
          </w:p>
        </w:tc>
        <w:tc>
          <w:tcPr>
            <w:tcW w:w="2020" w:type="dxa"/>
            <w:vAlign w:val="bottom"/>
            <w:tcBorders>
              <w:top w:val="single" w:sz="8" w:color="0000EE"/>
            </w:tcBorders>
            <w:gridSpan w:val="24"/>
          </w:tcPr>
          <w:p>
            <w:pPr>
              <w:spacing w:after="0" w:line="176" w:lineRule="exact"/>
              <w:rPr>
                <w:rFonts w:ascii="Arial" w:cs="Arial" w:eastAsia="Arial" w:hAnsi="Arial"/>
                <w:sz w:val="18"/>
                <w:szCs w:val="18"/>
                <w:color w:val="0000EE"/>
              </w:rPr>
            </w:pPr>
            <w:hyperlink w:anchor="page149">
              <w:r>
                <w:rPr>
                  <w:rFonts w:ascii="Arial" w:cs="Arial" w:eastAsia="Arial" w:hAnsi="Arial"/>
                  <w:sz w:val="18"/>
                  <w:szCs w:val="18"/>
                  <w:color w:val="0000EE"/>
                </w:rPr>
                <w:t>Plan of Distribution</w:t>
              </w:r>
            </w:hyperlink>
          </w:p>
        </w:tc>
        <w:tc>
          <w:tcPr>
            <w:tcW w:w="3600" w:type="dxa"/>
            <w:vAlign w:val="bottom"/>
            <w:tcBorders>
              <w:top w:val="single" w:sz="8" w:color="CCEEFF"/>
            </w:tcBorders>
            <w:gridSpan w:val="25"/>
          </w:tcPr>
          <w:p>
            <w:pPr>
              <w:spacing w:after="0"/>
              <w:rPr>
                <w:sz w:val="15"/>
                <w:szCs w:val="15"/>
                <w:color w:val="auto"/>
              </w:rPr>
            </w:pPr>
          </w:p>
        </w:tc>
        <w:tc>
          <w:tcPr>
            <w:tcW w:w="450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140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0" w:type="dxa"/>
            <w:vAlign w:val="bottom"/>
            <w:shd w:val="clear" w:color="auto" w:fill="CCEEFF"/>
          </w:tcPr>
          <w:p>
            <w:pPr>
              <w:spacing w:after="0"/>
              <w:rPr>
                <w:sz w:val="15"/>
                <w:szCs w:val="15"/>
                <w:color w:val="auto"/>
              </w:rPr>
            </w:pPr>
          </w:p>
        </w:tc>
        <w:tc>
          <w:tcPr>
            <w:tcW w:w="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w:t>
            </w:r>
          </w:p>
        </w:tc>
        <w:tc>
          <w:tcPr>
            <w:tcW w:w="5620" w:type="dxa"/>
            <w:vAlign w:val="bottom"/>
            <w:gridSpan w:val="49"/>
            <w:shd w:val="clear" w:color="auto" w:fill="CCEEFF"/>
          </w:tcPr>
          <w:p>
            <w:pPr>
              <w:spacing w:after="0" w:line="176" w:lineRule="exact"/>
              <w:rPr>
                <w:rFonts w:ascii="Arial" w:cs="Arial" w:eastAsia="Arial" w:hAnsi="Arial"/>
                <w:sz w:val="18"/>
                <w:szCs w:val="18"/>
                <w:color w:val="0000EE"/>
              </w:rPr>
            </w:pPr>
            <w:hyperlink w:anchor="page149">
              <w:r>
                <w:rPr>
                  <w:rFonts w:ascii="Arial" w:cs="Arial" w:eastAsia="Arial" w:hAnsi="Arial"/>
                  <w:sz w:val="18"/>
                  <w:szCs w:val="18"/>
                  <w:color w:val="0000EE"/>
                </w:rPr>
                <w:t>Markets</w:t>
              </w:r>
            </w:hyperlink>
          </w:p>
        </w:tc>
        <w:tc>
          <w:tcPr>
            <w:tcW w:w="45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0" w:type="dxa"/>
            <w:vAlign w:val="bottom"/>
          </w:tcPr>
          <w:p>
            <w:pPr>
              <w:spacing w:after="0"/>
              <w:rPr>
                <w:sz w:val="15"/>
                <w:szCs w:val="15"/>
                <w:color w:val="auto"/>
              </w:rPr>
            </w:pPr>
          </w:p>
        </w:tc>
        <w:tc>
          <w:tcPr>
            <w:tcW w:w="580" w:type="dxa"/>
            <w:vAlign w:val="bottom"/>
          </w:tcPr>
          <w:p>
            <w:pPr>
              <w:ind w:left="20"/>
              <w:spacing w:after="0" w:line="176" w:lineRule="exact"/>
              <w:rPr>
                <w:sz w:val="20"/>
                <w:szCs w:val="20"/>
                <w:color w:val="auto"/>
              </w:rPr>
            </w:pPr>
            <w:r>
              <w:rPr>
                <w:rFonts w:ascii="Arial" w:cs="Arial" w:eastAsia="Arial" w:hAnsi="Arial"/>
                <w:sz w:val="18"/>
                <w:szCs w:val="18"/>
                <w:color w:val="auto"/>
              </w:rPr>
              <w:t>D.</w:t>
            </w:r>
          </w:p>
        </w:tc>
        <w:tc>
          <w:tcPr>
            <w:tcW w:w="5620" w:type="dxa"/>
            <w:vAlign w:val="bottom"/>
            <w:gridSpan w:val="49"/>
          </w:tcPr>
          <w:p>
            <w:pPr>
              <w:spacing w:after="0" w:line="176" w:lineRule="exact"/>
              <w:rPr>
                <w:rFonts w:ascii="Arial" w:cs="Arial" w:eastAsia="Arial" w:hAnsi="Arial"/>
                <w:sz w:val="18"/>
                <w:szCs w:val="18"/>
                <w:color w:val="0000EE"/>
              </w:rPr>
            </w:pPr>
            <w:hyperlink w:anchor="page149">
              <w:r>
                <w:rPr>
                  <w:rFonts w:ascii="Arial" w:cs="Arial" w:eastAsia="Arial" w:hAnsi="Arial"/>
                  <w:sz w:val="18"/>
                  <w:szCs w:val="18"/>
                  <w:color w:val="0000EE"/>
                </w:rPr>
                <w:t>Selling Shareholders</w:t>
              </w:r>
            </w:hyperlink>
          </w:p>
        </w:tc>
        <w:tc>
          <w:tcPr>
            <w:tcW w:w="45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E.</w:t>
            </w:r>
          </w:p>
        </w:tc>
        <w:tc>
          <w:tcPr>
            <w:tcW w:w="6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6"/>
              </w:rPr>
            </w:pPr>
            <w:hyperlink w:anchor="page149">
              <w:r>
                <w:rPr>
                  <w:rFonts w:ascii="Arial" w:cs="Arial" w:eastAsia="Arial" w:hAnsi="Arial"/>
                  <w:sz w:val="18"/>
                  <w:szCs w:val="18"/>
                  <w:color w:val="0000EE"/>
                  <w:w w:val="96"/>
                </w:rPr>
                <w:t>Dilution</w:t>
              </w:r>
            </w:hyperlink>
          </w:p>
        </w:tc>
        <w:tc>
          <w:tcPr>
            <w:tcW w:w="5020" w:type="dxa"/>
            <w:vAlign w:val="bottom"/>
            <w:tcBorders>
              <w:bottom w:val="single" w:sz="8" w:color="CCEEFF"/>
            </w:tcBorders>
            <w:gridSpan w:val="47"/>
            <w:shd w:val="clear" w:color="auto" w:fill="CCEEFF"/>
          </w:tcPr>
          <w:p>
            <w:pPr>
              <w:spacing w:after="0"/>
              <w:rPr>
                <w:sz w:val="17"/>
                <w:szCs w:val="17"/>
                <w:color w:val="auto"/>
              </w:rPr>
            </w:pPr>
          </w:p>
        </w:tc>
        <w:tc>
          <w:tcPr>
            <w:tcW w:w="45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580" w:type="dxa"/>
            <w:vAlign w:val="bottom"/>
          </w:tcPr>
          <w:p>
            <w:pPr>
              <w:ind w:left="20"/>
              <w:spacing w:after="0" w:line="176" w:lineRule="exact"/>
              <w:rPr>
                <w:sz w:val="20"/>
                <w:szCs w:val="20"/>
                <w:color w:val="auto"/>
              </w:rPr>
            </w:pPr>
            <w:r>
              <w:rPr>
                <w:rFonts w:ascii="Arial" w:cs="Arial" w:eastAsia="Arial" w:hAnsi="Arial"/>
                <w:sz w:val="18"/>
                <w:szCs w:val="18"/>
                <w:color w:val="auto"/>
              </w:rPr>
              <w:t>F.</w:t>
            </w:r>
          </w:p>
        </w:tc>
        <w:tc>
          <w:tcPr>
            <w:tcW w:w="5620" w:type="dxa"/>
            <w:vAlign w:val="bottom"/>
            <w:gridSpan w:val="49"/>
          </w:tcPr>
          <w:p>
            <w:pPr>
              <w:spacing w:after="0" w:line="176" w:lineRule="exact"/>
              <w:rPr>
                <w:rFonts w:ascii="Arial" w:cs="Arial" w:eastAsia="Arial" w:hAnsi="Arial"/>
                <w:sz w:val="18"/>
                <w:szCs w:val="18"/>
                <w:color w:val="0000EE"/>
              </w:rPr>
            </w:pPr>
            <w:hyperlink w:anchor="page149">
              <w:r>
                <w:rPr>
                  <w:rFonts w:ascii="Arial" w:cs="Arial" w:eastAsia="Arial" w:hAnsi="Arial"/>
                  <w:sz w:val="18"/>
                  <w:szCs w:val="18"/>
                  <w:color w:val="0000EE"/>
                </w:rPr>
                <w:t>Expenses of the Issue</w:t>
              </w:r>
            </w:hyperlink>
          </w:p>
        </w:tc>
        <w:tc>
          <w:tcPr>
            <w:tcW w:w="45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2400" w:type="dxa"/>
            <w:vAlign w:val="bottom"/>
            <w:tcBorders>
              <w:bottom w:val="single" w:sz="8" w:color="0000EE"/>
            </w:tcBorders>
            <w:gridSpan w:val="32"/>
            <w:shd w:val="clear" w:color="auto" w:fill="CCEEFF"/>
          </w:tcPr>
          <w:p>
            <w:pPr>
              <w:spacing w:after="0" w:line="176" w:lineRule="exact"/>
              <w:rPr>
                <w:rFonts w:ascii="Arial" w:cs="Arial" w:eastAsia="Arial" w:hAnsi="Arial"/>
                <w:sz w:val="18"/>
                <w:szCs w:val="18"/>
                <w:color w:val="0000EE"/>
                <w:w w:val="99"/>
              </w:rPr>
            </w:pPr>
            <w:hyperlink w:anchor="page149">
              <w:r>
                <w:rPr>
                  <w:rFonts w:ascii="Arial" w:cs="Arial" w:eastAsia="Arial" w:hAnsi="Arial"/>
                  <w:sz w:val="18"/>
                  <w:szCs w:val="18"/>
                  <w:color w:val="0000EE"/>
                  <w:w w:val="99"/>
                </w:rPr>
                <w:t>ADDITIONAL INFORMATION</w:t>
              </w:r>
            </w:hyperlink>
          </w:p>
        </w:tc>
        <w:tc>
          <w:tcPr>
            <w:tcW w:w="3220" w:type="dxa"/>
            <w:vAlign w:val="bottom"/>
            <w:tcBorders>
              <w:bottom w:val="single" w:sz="8" w:color="CCEEFF"/>
            </w:tcBorders>
            <w:gridSpan w:val="17"/>
            <w:shd w:val="clear" w:color="auto" w:fill="CCEEFF"/>
          </w:tcPr>
          <w:p>
            <w:pPr>
              <w:spacing w:after="0"/>
              <w:rPr>
                <w:sz w:val="17"/>
                <w:szCs w:val="17"/>
                <w:color w:val="auto"/>
              </w:rPr>
            </w:pPr>
          </w:p>
        </w:tc>
        <w:tc>
          <w:tcPr>
            <w:tcW w:w="45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580" w:type="dxa"/>
            <w:vAlign w:val="bottom"/>
          </w:tcPr>
          <w:p>
            <w:pPr>
              <w:ind w:left="20"/>
              <w:spacing w:after="0" w:line="176" w:lineRule="exact"/>
              <w:rPr>
                <w:sz w:val="20"/>
                <w:szCs w:val="20"/>
                <w:color w:val="auto"/>
              </w:rPr>
            </w:pPr>
            <w:r>
              <w:rPr>
                <w:rFonts w:ascii="Arial" w:cs="Arial" w:eastAsia="Arial" w:hAnsi="Arial"/>
                <w:sz w:val="18"/>
                <w:szCs w:val="18"/>
                <w:color w:val="auto"/>
              </w:rPr>
              <w:t>A.</w:t>
            </w:r>
          </w:p>
        </w:tc>
        <w:tc>
          <w:tcPr>
            <w:tcW w:w="5620" w:type="dxa"/>
            <w:vAlign w:val="bottom"/>
            <w:gridSpan w:val="49"/>
          </w:tcPr>
          <w:p>
            <w:pPr>
              <w:spacing w:after="0" w:line="176" w:lineRule="exact"/>
              <w:rPr>
                <w:rFonts w:ascii="Arial" w:cs="Arial" w:eastAsia="Arial" w:hAnsi="Arial"/>
                <w:sz w:val="18"/>
                <w:szCs w:val="18"/>
                <w:color w:val="0000EE"/>
              </w:rPr>
            </w:pPr>
            <w:hyperlink w:anchor="page149">
              <w:r>
                <w:rPr>
                  <w:rFonts w:ascii="Arial" w:cs="Arial" w:eastAsia="Arial" w:hAnsi="Arial"/>
                  <w:sz w:val="18"/>
                  <w:szCs w:val="18"/>
                  <w:color w:val="0000EE"/>
                </w:rPr>
                <w:t>Share Capital</w:t>
              </w:r>
            </w:hyperlink>
          </w:p>
        </w:tc>
        <w:tc>
          <w:tcPr>
            <w:tcW w:w="45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B.</w:t>
            </w:r>
          </w:p>
        </w:tc>
        <w:tc>
          <w:tcPr>
            <w:tcW w:w="5620" w:type="dxa"/>
            <w:vAlign w:val="bottom"/>
            <w:gridSpan w:val="49"/>
            <w:shd w:val="clear" w:color="auto" w:fill="CCEEFF"/>
          </w:tcPr>
          <w:p>
            <w:pPr>
              <w:spacing w:after="0" w:line="176" w:lineRule="exact"/>
              <w:rPr>
                <w:rFonts w:ascii="Arial" w:cs="Arial" w:eastAsia="Arial" w:hAnsi="Arial"/>
                <w:sz w:val="18"/>
                <w:szCs w:val="18"/>
                <w:color w:val="0000EE"/>
              </w:rPr>
            </w:pPr>
            <w:hyperlink w:anchor="page149">
              <w:r>
                <w:rPr>
                  <w:rFonts w:ascii="Arial" w:cs="Arial" w:eastAsia="Arial" w:hAnsi="Arial"/>
                  <w:sz w:val="18"/>
                  <w:szCs w:val="18"/>
                  <w:color w:val="0000EE"/>
                </w:rPr>
                <w:t>Memorandum and Articles of Association</w:t>
              </w:r>
            </w:hyperlink>
          </w:p>
        </w:tc>
        <w:tc>
          <w:tcPr>
            <w:tcW w:w="45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4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ind w:left="20"/>
              <w:spacing w:after="0" w:line="176" w:lineRule="exact"/>
              <w:rPr>
                <w:sz w:val="20"/>
                <w:szCs w:val="20"/>
                <w:color w:val="auto"/>
              </w:rPr>
            </w:pPr>
            <w:r>
              <w:rPr>
                <w:rFonts w:ascii="Arial" w:cs="Arial" w:eastAsia="Arial" w:hAnsi="Arial"/>
                <w:sz w:val="18"/>
                <w:szCs w:val="18"/>
                <w:color w:val="auto"/>
              </w:rPr>
              <w:t>C.</w:t>
            </w:r>
          </w:p>
        </w:tc>
        <w:tc>
          <w:tcPr>
            <w:tcW w:w="3020" w:type="dxa"/>
            <w:vAlign w:val="bottom"/>
            <w:tcBorders>
              <w:top w:val="single" w:sz="8" w:color="0000EE"/>
            </w:tcBorders>
            <w:gridSpan w:val="36"/>
          </w:tcPr>
          <w:p>
            <w:pPr>
              <w:spacing w:after="0" w:line="176" w:lineRule="exact"/>
              <w:rPr>
                <w:rFonts w:ascii="Arial" w:cs="Arial" w:eastAsia="Arial" w:hAnsi="Arial"/>
                <w:sz w:val="18"/>
                <w:szCs w:val="18"/>
                <w:color w:val="0000EE"/>
              </w:rPr>
            </w:pPr>
            <w:hyperlink w:anchor="page149">
              <w:r>
                <w:rPr>
                  <w:rFonts w:ascii="Arial" w:cs="Arial" w:eastAsia="Arial" w:hAnsi="Arial"/>
                  <w:sz w:val="18"/>
                  <w:szCs w:val="18"/>
                  <w:color w:val="0000EE"/>
                </w:rPr>
                <w:t>Material Contracts</w:t>
              </w:r>
            </w:hyperlink>
          </w:p>
        </w:tc>
        <w:tc>
          <w:tcPr>
            <w:tcW w:w="2600" w:type="dxa"/>
            <w:vAlign w:val="bottom"/>
            <w:tcBorders>
              <w:top w:val="single" w:sz="8" w:color="CCEEFF"/>
            </w:tcBorders>
            <w:gridSpan w:val="13"/>
          </w:tcPr>
          <w:p>
            <w:pPr>
              <w:spacing w:after="0"/>
              <w:rPr>
                <w:sz w:val="15"/>
                <w:szCs w:val="15"/>
                <w:color w:val="auto"/>
              </w:rPr>
            </w:pPr>
          </w:p>
        </w:tc>
        <w:tc>
          <w:tcPr>
            <w:tcW w:w="450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140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0" w:type="dxa"/>
            <w:vAlign w:val="bottom"/>
            <w:shd w:val="clear" w:color="auto" w:fill="CCEEFF"/>
          </w:tcPr>
          <w:p>
            <w:pPr>
              <w:spacing w:after="0"/>
              <w:rPr>
                <w:sz w:val="15"/>
                <w:szCs w:val="15"/>
                <w:color w:val="auto"/>
              </w:rPr>
            </w:pPr>
          </w:p>
        </w:tc>
        <w:tc>
          <w:tcPr>
            <w:tcW w:w="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w:t>
            </w:r>
          </w:p>
        </w:tc>
        <w:tc>
          <w:tcPr>
            <w:tcW w:w="5620" w:type="dxa"/>
            <w:vAlign w:val="bottom"/>
            <w:gridSpan w:val="49"/>
            <w:shd w:val="clear" w:color="auto" w:fill="CCEEFF"/>
          </w:tcPr>
          <w:p>
            <w:pPr>
              <w:spacing w:after="0" w:line="176" w:lineRule="exact"/>
              <w:rPr>
                <w:rFonts w:ascii="Arial" w:cs="Arial" w:eastAsia="Arial" w:hAnsi="Arial"/>
                <w:sz w:val="18"/>
                <w:szCs w:val="18"/>
                <w:color w:val="0000EE"/>
              </w:rPr>
            </w:pPr>
            <w:hyperlink w:anchor="page149">
              <w:r>
                <w:rPr>
                  <w:rFonts w:ascii="Arial" w:cs="Arial" w:eastAsia="Arial" w:hAnsi="Arial"/>
                  <w:sz w:val="18"/>
                  <w:szCs w:val="18"/>
                  <w:color w:val="0000EE"/>
                </w:rPr>
                <w:t>Exchange Controls</w:t>
              </w:r>
            </w:hyperlink>
          </w:p>
        </w:tc>
        <w:tc>
          <w:tcPr>
            <w:tcW w:w="45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1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E.</w:t>
            </w:r>
          </w:p>
        </w:tc>
        <w:tc>
          <w:tcPr>
            <w:tcW w:w="8840" w:type="dxa"/>
            <w:vAlign w:val="bottom"/>
            <w:gridSpan w:val="29"/>
            <w:shd w:val="clear" w:color="auto" w:fill="CCEEFF"/>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Taxation</w:t>
              </w:r>
            </w:hyperlink>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3"/>
          </w:tcPr>
          <w:p>
            <w:pPr>
              <w:ind w:left="580"/>
              <w:spacing w:after="0" w:line="176" w:lineRule="exact"/>
              <w:rPr>
                <w:sz w:val="20"/>
                <w:szCs w:val="20"/>
                <w:color w:val="auto"/>
              </w:rPr>
            </w:pPr>
            <w:r>
              <w:rPr>
                <w:rFonts w:ascii="Arial" w:cs="Arial" w:eastAsia="Arial" w:hAnsi="Arial"/>
                <w:sz w:val="18"/>
                <w:szCs w:val="18"/>
                <w:color w:val="auto"/>
              </w:rPr>
              <w:t>F.</w:t>
            </w:r>
          </w:p>
        </w:tc>
        <w:tc>
          <w:tcPr>
            <w:tcW w:w="8840" w:type="dxa"/>
            <w:vAlign w:val="bottom"/>
            <w:gridSpan w:val="29"/>
          </w:tcPr>
          <w:p>
            <w:pPr>
              <w:spacing w:after="0" w:line="176" w:lineRule="exact"/>
              <w:rPr>
                <w:rFonts w:ascii="Arial" w:cs="Arial" w:eastAsia="Arial" w:hAnsi="Arial"/>
                <w:sz w:val="18"/>
                <w:szCs w:val="18"/>
                <w:color w:val="0000EE"/>
              </w:rPr>
            </w:pPr>
            <w:hyperlink w:anchor="page156">
              <w:r>
                <w:rPr>
                  <w:rFonts w:ascii="Arial" w:cs="Arial" w:eastAsia="Arial" w:hAnsi="Arial"/>
                  <w:sz w:val="18"/>
                  <w:szCs w:val="18"/>
                  <w:color w:val="0000EE"/>
                </w:rPr>
                <w:t>Dividends and Paying Agents</w:t>
              </w:r>
            </w:hyperlink>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147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3"/>
            <w:shd w:val="clear" w:color="auto" w:fill="CCEEFF"/>
          </w:tcPr>
          <w:p>
            <w:pPr>
              <w:ind w:left="580"/>
              <w:spacing w:after="0" w:line="176" w:lineRule="exact"/>
              <w:rPr>
                <w:sz w:val="20"/>
                <w:szCs w:val="20"/>
                <w:color w:val="auto"/>
              </w:rPr>
            </w:pPr>
            <w:r>
              <w:rPr>
                <w:rFonts w:ascii="Arial" w:cs="Arial" w:eastAsia="Arial" w:hAnsi="Arial"/>
                <w:sz w:val="18"/>
                <w:szCs w:val="18"/>
                <w:color w:val="auto"/>
              </w:rPr>
              <w:t>G.</w:t>
            </w:r>
          </w:p>
        </w:tc>
        <w:tc>
          <w:tcPr>
            <w:tcW w:w="8840" w:type="dxa"/>
            <w:vAlign w:val="bottom"/>
            <w:gridSpan w:val="29"/>
            <w:shd w:val="clear" w:color="auto" w:fill="CCEEFF"/>
          </w:tcPr>
          <w:p>
            <w:pPr>
              <w:spacing w:after="0" w:line="176" w:lineRule="exact"/>
              <w:rPr>
                <w:rFonts w:ascii="Arial" w:cs="Arial" w:eastAsia="Arial" w:hAnsi="Arial"/>
                <w:sz w:val="18"/>
                <w:szCs w:val="18"/>
                <w:color w:val="0000EE"/>
              </w:rPr>
            </w:pPr>
            <w:hyperlink w:anchor="page156">
              <w:r>
                <w:rPr>
                  <w:rFonts w:ascii="Arial" w:cs="Arial" w:eastAsia="Arial" w:hAnsi="Arial"/>
                  <w:sz w:val="18"/>
                  <w:szCs w:val="18"/>
                  <w:color w:val="0000EE"/>
                </w:rPr>
                <w:t>Statement by Experts</w:t>
              </w:r>
            </w:hyperlink>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gridSpan w:val="3"/>
          </w:tcPr>
          <w:p>
            <w:pPr>
              <w:ind w:left="580"/>
              <w:spacing w:after="0" w:line="176" w:lineRule="exact"/>
              <w:rPr>
                <w:sz w:val="20"/>
                <w:szCs w:val="20"/>
                <w:color w:val="auto"/>
              </w:rPr>
            </w:pPr>
            <w:r>
              <w:rPr>
                <w:rFonts w:ascii="Arial" w:cs="Arial" w:eastAsia="Arial" w:hAnsi="Arial"/>
                <w:sz w:val="18"/>
                <w:szCs w:val="18"/>
                <w:color w:val="auto"/>
              </w:rPr>
              <w:t>H.</w:t>
            </w:r>
          </w:p>
        </w:tc>
        <w:tc>
          <w:tcPr>
            <w:tcW w:w="8840" w:type="dxa"/>
            <w:vAlign w:val="bottom"/>
            <w:gridSpan w:val="29"/>
          </w:tcPr>
          <w:p>
            <w:pPr>
              <w:spacing w:after="0" w:line="176" w:lineRule="exact"/>
              <w:rPr>
                <w:rFonts w:ascii="Arial" w:cs="Arial" w:eastAsia="Arial" w:hAnsi="Arial"/>
                <w:sz w:val="18"/>
                <w:szCs w:val="18"/>
                <w:color w:val="0000EE"/>
              </w:rPr>
            </w:pPr>
            <w:hyperlink w:anchor="page156">
              <w:r>
                <w:rPr>
                  <w:rFonts w:ascii="Arial" w:cs="Arial" w:eastAsia="Arial" w:hAnsi="Arial"/>
                  <w:sz w:val="18"/>
                  <w:szCs w:val="18"/>
                  <w:color w:val="0000EE"/>
                </w:rPr>
                <w:t>Documents on Display</w:t>
              </w:r>
            </w:hyperlink>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147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3"/>
            <w:shd w:val="clear" w:color="auto" w:fill="CCEEFF"/>
          </w:tcPr>
          <w:p>
            <w:pPr>
              <w:ind w:left="580"/>
              <w:spacing w:after="0" w:line="176" w:lineRule="exact"/>
              <w:rPr>
                <w:sz w:val="20"/>
                <w:szCs w:val="20"/>
                <w:color w:val="auto"/>
              </w:rPr>
            </w:pPr>
            <w:r>
              <w:rPr>
                <w:rFonts w:ascii="Arial" w:cs="Arial" w:eastAsia="Arial" w:hAnsi="Arial"/>
                <w:sz w:val="18"/>
                <w:szCs w:val="18"/>
                <w:color w:val="auto"/>
              </w:rPr>
              <w:t>I.</w:t>
            </w:r>
          </w:p>
        </w:tc>
        <w:tc>
          <w:tcPr>
            <w:tcW w:w="168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2"/>
              </w:rPr>
            </w:pPr>
            <w:hyperlink w:anchor="page157">
              <w:r>
                <w:rPr>
                  <w:rFonts w:ascii="Arial" w:cs="Arial" w:eastAsia="Arial" w:hAnsi="Arial"/>
                  <w:sz w:val="18"/>
                  <w:szCs w:val="18"/>
                  <w:color w:val="0000EE"/>
                  <w:w w:val="92"/>
                </w:rPr>
                <w:t>Subsidiary Information</w:t>
              </w:r>
            </w:hyperlink>
          </w:p>
        </w:tc>
        <w:tc>
          <w:tcPr>
            <w:tcW w:w="7160" w:type="dxa"/>
            <w:vAlign w:val="bottom"/>
            <w:tcBorders>
              <w:bottom w:val="single" w:sz="8" w:color="CCEEFF"/>
            </w:tcBorders>
            <w:gridSpan w:val="19"/>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gridSpan w:val="3"/>
          </w:tcPr>
          <w:p>
            <w:pPr>
              <w:spacing w:after="0" w:line="176" w:lineRule="exact"/>
              <w:rPr>
                <w:sz w:val="20"/>
                <w:szCs w:val="20"/>
                <w:color w:val="auto"/>
              </w:rPr>
            </w:pPr>
            <w:r>
              <w:rPr>
                <w:rFonts w:ascii="Arial" w:cs="Arial" w:eastAsia="Arial" w:hAnsi="Arial"/>
                <w:sz w:val="18"/>
                <w:szCs w:val="18"/>
                <w:color w:val="auto"/>
              </w:rPr>
              <w:t>ITEM 11.</w:t>
            </w:r>
          </w:p>
        </w:tc>
        <w:tc>
          <w:tcPr>
            <w:tcW w:w="8840" w:type="dxa"/>
            <w:vAlign w:val="bottom"/>
            <w:gridSpan w:val="29"/>
          </w:tcPr>
          <w:p>
            <w:pPr>
              <w:spacing w:after="0" w:line="176" w:lineRule="exact"/>
              <w:rPr>
                <w:rFonts w:ascii="Arial" w:cs="Arial" w:eastAsia="Arial" w:hAnsi="Arial"/>
                <w:sz w:val="18"/>
                <w:szCs w:val="18"/>
                <w:color w:val="0000EE"/>
              </w:rPr>
            </w:pPr>
            <w:hyperlink w:anchor="page157">
              <w:r>
                <w:rPr>
                  <w:rFonts w:ascii="Arial" w:cs="Arial" w:eastAsia="Arial" w:hAnsi="Arial"/>
                  <w:sz w:val="18"/>
                  <w:szCs w:val="18"/>
                  <w:color w:val="0000EE"/>
                </w:rPr>
                <w:t>QUANTITATIVE AND QUALITATIVE DISCLOSURES ABOUT MARKET RISK</w:t>
              </w:r>
            </w:hyperlink>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148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548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5"/>
              </w:rPr>
            </w:pPr>
            <w:hyperlink w:anchor="page158">
              <w:r>
                <w:rPr>
                  <w:rFonts w:ascii="Arial" w:cs="Arial" w:eastAsia="Arial" w:hAnsi="Arial"/>
                  <w:sz w:val="18"/>
                  <w:szCs w:val="18"/>
                  <w:color w:val="0000EE"/>
                  <w:w w:val="95"/>
                </w:rPr>
                <w:t>DESCRIPTION OF SECURITIES OTHER THAN EQUITY SECURITIES</w:t>
              </w:r>
            </w:hyperlink>
          </w:p>
        </w:tc>
        <w:tc>
          <w:tcPr>
            <w:tcW w:w="3360" w:type="dxa"/>
            <w:vAlign w:val="bottom"/>
            <w:tcBorders>
              <w:bottom w:val="single" w:sz="8" w:color="CCEEFF"/>
            </w:tcBorders>
            <w:gridSpan w:val="6"/>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gridSpan w:val="3"/>
          </w:tcPr>
          <w:p>
            <w:pPr>
              <w:ind w:left="580"/>
              <w:spacing w:after="0" w:line="176" w:lineRule="exact"/>
              <w:rPr>
                <w:sz w:val="20"/>
                <w:szCs w:val="20"/>
                <w:color w:val="auto"/>
              </w:rPr>
            </w:pPr>
            <w:r>
              <w:rPr>
                <w:rFonts w:ascii="Arial" w:cs="Arial" w:eastAsia="Arial" w:hAnsi="Arial"/>
                <w:sz w:val="18"/>
                <w:szCs w:val="18"/>
                <w:color w:val="auto"/>
              </w:rPr>
              <w:t>A.</w:t>
            </w:r>
          </w:p>
        </w:tc>
        <w:tc>
          <w:tcPr>
            <w:tcW w:w="8840" w:type="dxa"/>
            <w:vAlign w:val="bottom"/>
            <w:gridSpan w:val="29"/>
          </w:tcPr>
          <w:p>
            <w:pPr>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Debt Securities</w:t>
              </w:r>
            </w:hyperlink>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149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3"/>
            <w:shd w:val="clear" w:color="auto" w:fill="CCEEFF"/>
          </w:tcPr>
          <w:p>
            <w:pPr>
              <w:ind w:left="580"/>
              <w:spacing w:after="0" w:line="176" w:lineRule="exact"/>
              <w:rPr>
                <w:sz w:val="20"/>
                <w:szCs w:val="20"/>
                <w:color w:val="auto"/>
              </w:rPr>
            </w:pPr>
            <w:r>
              <w:rPr>
                <w:rFonts w:ascii="Arial" w:cs="Arial" w:eastAsia="Arial" w:hAnsi="Arial"/>
                <w:sz w:val="18"/>
                <w:szCs w:val="18"/>
                <w:color w:val="auto"/>
              </w:rPr>
              <w:t>B.</w:t>
            </w:r>
          </w:p>
        </w:tc>
        <w:tc>
          <w:tcPr>
            <w:tcW w:w="8840" w:type="dxa"/>
            <w:vAlign w:val="bottom"/>
            <w:gridSpan w:val="29"/>
            <w:shd w:val="clear" w:color="auto" w:fill="CCEEFF"/>
          </w:tcPr>
          <w:p>
            <w:pPr>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Warrants and Rights</w:t>
              </w:r>
            </w:hyperlink>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tcBorders>
            <w:gridSpan w:val="3"/>
          </w:tcPr>
          <w:p>
            <w:pPr>
              <w:ind w:left="580"/>
              <w:spacing w:after="0" w:line="176" w:lineRule="exact"/>
              <w:rPr>
                <w:sz w:val="20"/>
                <w:szCs w:val="20"/>
                <w:color w:val="auto"/>
              </w:rPr>
            </w:pPr>
            <w:r>
              <w:rPr>
                <w:rFonts w:ascii="Arial" w:cs="Arial" w:eastAsia="Arial" w:hAnsi="Arial"/>
                <w:sz w:val="18"/>
                <w:szCs w:val="18"/>
                <w:color w:val="auto"/>
              </w:rPr>
              <w:t>C.</w:t>
            </w:r>
          </w:p>
        </w:tc>
        <w:tc>
          <w:tcPr>
            <w:tcW w:w="146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Other Securities</w:t>
              </w:r>
            </w:hyperlink>
          </w:p>
        </w:tc>
        <w:tc>
          <w:tcPr>
            <w:tcW w:w="7380" w:type="dxa"/>
            <w:vAlign w:val="bottom"/>
            <w:tcBorders>
              <w:top w:val="single" w:sz="8" w:color="CCEEFF"/>
            </w:tcBorders>
            <w:gridSpan w:val="22"/>
          </w:tcPr>
          <w:p>
            <w:pPr>
              <w:spacing w:after="0"/>
              <w:rPr>
                <w:sz w:val="15"/>
                <w:szCs w:val="15"/>
                <w:color w:val="auto"/>
              </w:rPr>
            </w:pPr>
          </w:p>
        </w:tc>
        <w:tc>
          <w:tcPr>
            <w:tcW w:w="12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3"/>
            <w:shd w:val="clear" w:color="auto" w:fill="CCEEFF"/>
          </w:tcPr>
          <w:p>
            <w:pPr>
              <w:ind w:left="580"/>
              <w:spacing w:after="0" w:line="176" w:lineRule="exact"/>
              <w:rPr>
                <w:sz w:val="20"/>
                <w:szCs w:val="20"/>
                <w:color w:val="auto"/>
              </w:rPr>
            </w:pPr>
            <w:r>
              <w:rPr>
                <w:rFonts w:ascii="Arial" w:cs="Arial" w:eastAsia="Arial" w:hAnsi="Arial"/>
                <w:sz w:val="18"/>
                <w:szCs w:val="18"/>
                <w:color w:val="auto"/>
              </w:rPr>
              <w:t>D.</w:t>
            </w:r>
          </w:p>
        </w:tc>
        <w:tc>
          <w:tcPr>
            <w:tcW w:w="8840" w:type="dxa"/>
            <w:vAlign w:val="bottom"/>
            <w:gridSpan w:val="29"/>
            <w:shd w:val="clear" w:color="auto" w:fill="CCEEFF"/>
          </w:tcPr>
          <w:p>
            <w:pPr>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American Depositary Shares</w:t>
              </w:r>
            </w:hyperlink>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tcBorders>
            <w:gridSpan w:val="3"/>
          </w:tcPr>
          <w:p>
            <w:pPr>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PART II</w:t>
              </w:r>
            </w:hyperlink>
          </w:p>
        </w:tc>
        <w:tc>
          <w:tcPr>
            <w:tcW w:w="6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502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7"/>
              </w:rPr>
            </w:pPr>
            <w:hyperlink w:anchor="page158">
              <w:r>
                <w:rPr>
                  <w:rFonts w:ascii="Arial" w:cs="Arial" w:eastAsia="Arial" w:hAnsi="Arial"/>
                  <w:sz w:val="18"/>
                  <w:szCs w:val="18"/>
                  <w:color w:val="0000EE"/>
                  <w:w w:val="97"/>
                </w:rPr>
                <w:t>DEFAULTS, DIVIDEND ARREARAGES AND DELINQUENCIES</w:t>
              </w:r>
            </w:hyperlink>
          </w:p>
        </w:tc>
        <w:tc>
          <w:tcPr>
            <w:tcW w:w="3820" w:type="dxa"/>
            <w:vAlign w:val="bottom"/>
            <w:tcBorders>
              <w:bottom w:val="single" w:sz="8" w:color="CCEEFF"/>
            </w:tcBorders>
            <w:gridSpan w:val="7"/>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gridSpan w:val="3"/>
          </w:tcPr>
          <w:p>
            <w:pPr>
              <w:spacing w:after="0" w:line="176" w:lineRule="exact"/>
              <w:rPr>
                <w:sz w:val="20"/>
                <w:szCs w:val="20"/>
                <w:color w:val="auto"/>
              </w:rPr>
            </w:pPr>
            <w:r>
              <w:rPr>
                <w:rFonts w:ascii="Arial" w:cs="Arial" w:eastAsia="Arial" w:hAnsi="Arial"/>
                <w:sz w:val="18"/>
                <w:szCs w:val="18"/>
                <w:color w:val="auto"/>
              </w:rPr>
              <w:t>ITEM 14.</w:t>
            </w:r>
          </w:p>
        </w:tc>
        <w:tc>
          <w:tcPr>
            <w:tcW w:w="8840" w:type="dxa"/>
            <w:vAlign w:val="bottom"/>
            <w:gridSpan w:val="29"/>
          </w:tcPr>
          <w:p>
            <w:pPr>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MATERIAL MODIFICATIONS TO THE RIGHTS OF SECURITY HOLDERS AND USE OF PROCEEDS</w:t>
              </w:r>
            </w:hyperlink>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149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8840" w:type="dxa"/>
            <w:vAlign w:val="bottom"/>
            <w:gridSpan w:val="29"/>
            <w:shd w:val="clear" w:color="auto" w:fill="CCEEFF"/>
          </w:tcPr>
          <w:p>
            <w:pPr>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CONTROLS AND PROCEDURES</w:t>
              </w:r>
            </w:hyperlink>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tcBorders>
            <w:gridSpan w:val="3"/>
          </w:tcPr>
          <w:p>
            <w:pPr>
              <w:ind w:left="580"/>
              <w:spacing w:after="0" w:line="176" w:lineRule="exact"/>
              <w:rPr>
                <w:sz w:val="20"/>
                <w:szCs w:val="20"/>
                <w:color w:val="auto"/>
              </w:rPr>
            </w:pPr>
            <w:r>
              <w:rPr>
                <w:rFonts w:ascii="Arial" w:cs="Arial" w:eastAsia="Arial" w:hAnsi="Arial"/>
                <w:sz w:val="18"/>
                <w:szCs w:val="18"/>
                <w:color w:val="auto"/>
              </w:rPr>
              <w:t>A.</w:t>
            </w:r>
          </w:p>
        </w:tc>
        <w:tc>
          <w:tcPr>
            <w:tcW w:w="2600" w:type="dxa"/>
            <w:vAlign w:val="bottom"/>
            <w:tcBorders>
              <w:top w:val="single" w:sz="8" w:color="0000EE"/>
            </w:tcBorders>
            <w:gridSpan w:val="16"/>
          </w:tcPr>
          <w:p>
            <w:pPr>
              <w:spacing w:after="0" w:line="176" w:lineRule="exact"/>
              <w:rPr>
                <w:rFonts w:ascii="Arial" w:cs="Arial" w:eastAsia="Arial" w:hAnsi="Arial"/>
                <w:sz w:val="18"/>
                <w:szCs w:val="18"/>
                <w:color w:val="0000EE"/>
                <w:w w:val="89"/>
              </w:rPr>
            </w:pPr>
            <w:hyperlink w:anchor="page158">
              <w:r>
                <w:rPr>
                  <w:rFonts w:ascii="Arial" w:cs="Arial" w:eastAsia="Arial" w:hAnsi="Arial"/>
                  <w:sz w:val="18"/>
                  <w:szCs w:val="18"/>
                  <w:color w:val="0000EE"/>
                  <w:w w:val="89"/>
                </w:rPr>
                <w:t>Disclosure Controls and Procedures</w:t>
              </w:r>
            </w:hyperlink>
          </w:p>
        </w:tc>
        <w:tc>
          <w:tcPr>
            <w:tcW w:w="6240" w:type="dxa"/>
            <w:vAlign w:val="bottom"/>
            <w:tcBorders>
              <w:top w:val="single" w:sz="8" w:color="CCEEFF"/>
            </w:tcBorders>
            <w:gridSpan w:val="13"/>
          </w:tcPr>
          <w:p>
            <w:pPr>
              <w:spacing w:after="0"/>
              <w:rPr>
                <w:sz w:val="15"/>
                <w:szCs w:val="15"/>
                <w:color w:val="auto"/>
              </w:rPr>
            </w:pPr>
          </w:p>
        </w:tc>
        <w:tc>
          <w:tcPr>
            <w:tcW w:w="12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3"/>
            <w:shd w:val="clear" w:color="auto" w:fill="CCEEFF"/>
          </w:tcPr>
          <w:p>
            <w:pPr>
              <w:ind w:left="580"/>
              <w:spacing w:after="0" w:line="176" w:lineRule="exact"/>
              <w:rPr>
                <w:sz w:val="20"/>
                <w:szCs w:val="20"/>
                <w:color w:val="auto"/>
              </w:rPr>
            </w:pPr>
            <w:r>
              <w:rPr>
                <w:rFonts w:ascii="Arial" w:cs="Arial" w:eastAsia="Arial" w:hAnsi="Arial"/>
                <w:sz w:val="18"/>
                <w:szCs w:val="18"/>
                <w:color w:val="auto"/>
              </w:rPr>
              <w:t>B.</w:t>
            </w:r>
          </w:p>
        </w:tc>
        <w:tc>
          <w:tcPr>
            <w:tcW w:w="548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1"/>
              </w:rPr>
            </w:pPr>
            <w:hyperlink w:anchor="page159">
              <w:r>
                <w:rPr>
                  <w:rFonts w:ascii="Arial" w:cs="Arial" w:eastAsia="Arial" w:hAnsi="Arial"/>
                  <w:sz w:val="18"/>
                  <w:szCs w:val="18"/>
                  <w:color w:val="0000EE"/>
                  <w:w w:val="91"/>
                </w:rPr>
                <w:t>Management’s Annual Report on Internal Control Over Financial Reporting</w:t>
              </w:r>
            </w:hyperlink>
          </w:p>
        </w:tc>
        <w:tc>
          <w:tcPr>
            <w:tcW w:w="3360" w:type="dxa"/>
            <w:vAlign w:val="bottom"/>
            <w:tcBorders>
              <w:bottom w:val="single" w:sz="8" w:color="CCEEFF"/>
            </w:tcBorders>
            <w:gridSpan w:val="6"/>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gridSpan w:val="3"/>
          </w:tcPr>
          <w:p>
            <w:pPr>
              <w:ind w:left="580"/>
              <w:spacing w:after="0" w:line="176" w:lineRule="exact"/>
              <w:rPr>
                <w:sz w:val="20"/>
                <w:szCs w:val="20"/>
                <w:color w:val="auto"/>
              </w:rPr>
            </w:pPr>
            <w:r>
              <w:rPr>
                <w:rFonts w:ascii="Arial" w:cs="Arial" w:eastAsia="Arial" w:hAnsi="Arial"/>
                <w:sz w:val="18"/>
                <w:szCs w:val="18"/>
                <w:color w:val="auto"/>
              </w:rPr>
              <w:t>C.</w:t>
            </w:r>
          </w:p>
        </w:tc>
        <w:tc>
          <w:tcPr>
            <w:tcW w:w="8840" w:type="dxa"/>
            <w:vAlign w:val="bottom"/>
            <w:gridSpan w:val="29"/>
          </w:tcPr>
          <w:p>
            <w:pPr>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Attestation Report of the Registered Public Accounting Firm</w:t>
              </w:r>
            </w:hyperlink>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151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3"/>
            <w:shd w:val="clear" w:color="auto" w:fill="CCEEFF"/>
          </w:tcPr>
          <w:p>
            <w:pPr>
              <w:ind w:left="580"/>
              <w:spacing w:after="0" w:line="176" w:lineRule="exact"/>
              <w:rPr>
                <w:sz w:val="20"/>
                <w:szCs w:val="20"/>
                <w:color w:val="auto"/>
              </w:rPr>
            </w:pPr>
            <w:r>
              <w:rPr>
                <w:rFonts w:ascii="Arial" w:cs="Arial" w:eastAsia="Arial" w:hAnsi="Arial"/>
                <w:sz w:val="18"/>
                <w:szCs w:val="18"/>
                <w:color w:val="auto"/>
              </w:rPr>
              <w:t>D.</w:t>
            </w:r>
          </w:p>
        </w:tc>
        <w:tc>
          <w:tcPr>
            <w:tcW w:w="8840" w:type="dxa"/>
            <w:vAlign w:val="bottom"/>
            <w:gridSpan w:val="29"/>
            <w:shd w:val="clear" w:color="auto" w:fill="CCEEFF"/>
          </w:tcPr>
          <w:p>
            <w:pPr>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Changes in Internal Control Over Financial Reporting</w:t>
              </w:r>
            </w:hyperlink>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Borders>
              <w:top w:val="single" w:sz="8" w:color="CCEEFF"/>
            </w:tcBorders>
            <w:gridSpan w:val="3"/>
          </w:tcPr>
          <w:p>
            <w:pPr>
              <w:spacing w:after="0" w:line="176" w:lineRule="exact"/>
              <w:rPr>
                <w:sz w:val="20"/>
                <w:szCs w:val="20"/>
                <w:color w:val="auto"/>
              </w:rPr>
            </w:pPr>
            <w:r>
              <w:rPr>
                <w:rFonts w:ascii="Arial" w:cs="Arial" w:eastAsia="Arial" w:hAnsi="Arial"/>
                <w:sz w:val="18"/>
                <w:szCs w:val="18"/>
                <w:color w:val="auto"/>
              </w:rPr>
              <w:t>ITEM 16.</w:t>
            </w:r>
          </w:p>
        </w:tc>
        <w:tc>
          <w:tcPr>
            <w:tcW w:w="3880" w:type="dxa"/>
            <w:vAlign w:val="bottom"/>
            <w:tcBorders>
              <w:top w:val="single" w:sz="8" w:color="0000EE"/>
            </w:tcBorders>
            <w:gridSpan w:val="18"/>
          </w:tcPr>
          <w:p>
            <w:pPr>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[RESERVED]</w:t>
              </w:r>
            </w:hyperlink>
          </w:p>
        </w:tc>
        <w:tc>
          <w:tcPr>
            <w:tcW w:w="4960" w:type="dxa"/>
            <w:vAlign w:val="bottom"/>
            <w:tcBorders>
              <w:top w:val="single" w:sz="8" w:color="CCEEFF"/>
            </w:tcBorders>
            <w:gridSpan w:val="11"/>
          </w:tcPr>
          <w:p>
            <w:pPr>
              <w:spacing w:after="0"/>
              <w:rPr>
                <w:sz w:val="15"/>
                <w:szCs w:val="15"/>
                <w:color w:val="auto"/>
              </w:rPr>
            </w:pPr>
          </w:p>
        </w:tc>
        <w:tc>
          <w:tcPr>
            <w:tcW w:w="12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16A.</w:t>
            </w:r>
          </w:p>
        </w:tc>
        <w:tc>
          <w:tcPr>
            <w:tcW w:w="8840" w:type="dxa"/>
            <w:vAlign w:val="bottom"/>
            <w:gridSpan w:val="29"/>
            <w:shd w:val="clear" w:color="auto" w:fill="CCEEFF"/>
          </w:tcPr>
          <w:p>
            <w:pPr>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AUDIT COMMITTEE FINANCIAL EXPERT</w:t>
              </w:r>
            </w:hyperlink>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tcBorders>
            <w:gridSpan w:val="3"/>
          </w:tcPr>
          <w:p>
            <w:pPr>
              <w:spacing w:after="0" w:line="176" w:lineRule="exact"/>
              <w:rPr>
                <w:sz w:val="20"/>
                <w:szCs w:val="20"/>
                <w:color w:val="auto"/>
              </w:rPr>
            </w:pPr>
            <w:r>
              <w:rPr>
                <w:rFonts w:ascii="Arial" w:cs="Arial" w:eastAsia="Arial" w:hAnsi="Arial"/>
                <w:sz w:val="18"/>
                <w:szCs w:val="18"/>
                <w:color w:val="auto"/>
              </w:rPr>
              <w:t>ITEM 16B.</w:t>
            </w:r>
          </w:p>
        </w:tc>
        <w:tc>
          <w:tcPr>
            <w:tcW w:w="340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CODE OF ETHICS</w:t>
              </w:r>
            </w:hyperlink>
          </w:p>
        </w:tc>
        <w:tc>
          <w:tcPr>
            <w:tcW w:w="5440" w:type="dxa"/>
            <w:vAlign w:val="bottom"/>
            <w:tcBorders>
              <w:top w:val="single" w:sz="8" w:color="CCEEFF"/>
            </w:tcBorders>
            <w:gridSpan w:val="12"/>
          </w:tcPr>
          <w:p>
            <w:pPr>
              <w:spacing w:after="0"/>
              <w:rPr>
                <w:sz w:val="15"/>
                <w:szCs w:val="15"/>
                <w:color w:val="auto"/>
              </w:rPr>
            </w:pPr>
          </w:p>
        </w:tc>
        <w:tc>
          <w:tcPr>
            <w:tcW w:w="12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16C.</w:t>
            </w:r>
          </w:p>
        </w:tc>
        <w:tc>
          <w:tcPr>
            <w:tcW w:w="8840" w:type="dxa"/>
            <w:vAlign w:val="bottom"/>
            <w:gridSpan w:val="29"/>
            <w:shd w:val="clear" w:color="auto" w:fill="CCEEFF"/>
          </w:tcPr>
          <w:p>
            <w:pPr>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PRINCIPAL ACCOUNTANT FEES AND SERVICES</w:t>
              </w:r>
            </w:hyperlink>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3"/>
          </w:tcPr>
          <w:p>
            <w:pPr>
              <w:spacing w:after="0" w:line="176" w:lineRule="exact"/>
              <w:rPr>
                <w:sz w:val="20"/>
                <w:szCs w:val="20"/>
                <w:color w:val="auto"/>
              </w:rPr>
            </w:pPr>
            <w:r>
              <w:rPr>
                <w:rFonts w:ascii="Arial" w:cs="Arial" w:eastAsia="Arial" w:hAnsi="Arial"/>
                <w:sz w:val="18"/>
                <w:szCs w:val="18"/>
                <w:color w:val="auto"/>
              </w:rPr>
              <w:t>ITEM 16D.</w:t>
            </w:r>
          </w:p>
        </w:tc>
        <w:tc>
          <w:tcPr>
            <w:tcW w:w="8840" w:type="dxa"/>
            <w:vAlign w:val="bottom"/>
            <w:gridSpan w:val="29"/>
          </w:tcPr>
          <w:p>
            <w:pPr>
              <w:spacing w:after="0" w:line="176" w:lineRule="exact"/>
              <w:rPr>
                <w:rFonts w:ascii="Arial" w:cs="Arial" w:eastAsia="Arial" w:hAnsi="Arial"/>
                <w:sz w:val="18"/>
                <w:szCs w:val="18"/>
                <w:color w:val="0000EE"/>
              </w:rPr>
            </w:pPr>
            <w:hyperlink w:anchor="page161">
              <w:r>
                <w:rPr>
                  <w:rFonts w:ascii="Arial" w:cs="Arial" w:eastAsia="Arial" w:hAnsi="Arial"/>
                  <w:sz w:val="18"/>
                  <w:szCs w:val="18"/>
                  <w:color w:val="0000EE"/>
                </w:rPr>
                <w:t>EXEMPTIONS FROM THE LISTING STANDARDS FOR AUDIT COMMITTEES</w:t>
              </w:r>
            </w:hyperlink>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152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16E.</w:t>
            </w:r>
          </w:p>
        </w:tc>
        <w:tc>
          <w:tcPr>
            <w:tcW w:w="7160" w:type="dxa"/>
            <w:vAlign w:val="bottom"/>
            <w:tcBorders>
              <w:bottom w:val="single" w:sz="8" w:color="0000EE"/>
            </w:tcBorders>
            <w:gridSpan w:val="27"/>
            <w:shd w:val="clear" w:color="auto" w:fill="CCEEFF"/>
          </w:tcPr>
          <w:p>
            <w:pPr>
              <w:spacing w:after="0" w:line="176" w:lineRule="exact"/>
              <w:rPr>
                <w:rFonts w:ascii="Arial" w:cs="Arial" w:eastAsia="Arial" w:hAnsi="Arial"/>
                <w:sz w:val="18"/>
                <w:szCs w:val="18"/>
                <w:color w:val="0000EE"/>
                <w:w w:val="95"/>
              </w:rPr>
            </w:pPr>
            <w:hyperlink w:anchor="page161">
              <w:r>
                <w:rPr>
                  <w:rFonts w:ascii="Arial" w:cs="Arial" w:eastAsia="Arial" w:hAnsi="Arial"/>
                  <w:sz w:val="18"/>
                  <w:szCs w:val="18"/>
                  <w:color w:val="0000EE"/>
                  <w:w w:val="95"/>
                </w:rPr>
                <w:t>PURCHASES OF EQUITY SECURITIES BY THE ISSUER AND AFFILIATED PURCHASERS</w:t>
              </w:r>
            </w:hyperlink>
          </w:p>
        </w:tc>
        <w:tc>
          <w:tcPr>
            <w:tcW w:w="1680" w:type="dxa"/>
            <w:vAlign w:val="bottom"/>
            <w:tcBorders>
              <w:bottom w:val="single" w:sz="8" w:color="CCEEFF"/>
            </w:tcBorders>
            <w:gridSpan w:val="2"/>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gridSpan w:val="3"/>
          </w:tcPr>
          <w:p>
            <w:pPr>
              <w:spacing w:after="0" w:line="176" w:lineRule="exact"/>
              <w:rPr>
                <w:sz w:val="20"/>
                <w:szCs w:val="20"/>
                <w:color w:val="auto"/>
              </w:rPr>
            </w:pPr>
            <w:r>
              <w:rPr>
                <w:rFonts w:ascii="Arial" w:cs="Arial" w:eastAsia="Arial" w:hAnsi="Arial"/>
                <w:sz w:val="18"/>
                <w:szCs w:val="18"/>
                <w:color w:val="auto"/>
              </w:rPr>
              <w:t>ITEM 16F.</w:t>
            </w:r>
          </w:p>
        </w:tc>
        <w:tc>
          <w:tcPr>
            <w:tcW w:w="8840" w:type="dxa"/>
            <w:vAlign w:val="bottom"/>
            <w:gridSpan w:val="29"/>
          </w:tcPr>
          <w:p>
            <w:pPr>
              <w:spacing w:after="0" w:line="176" w:lineRule="exact"/>
              <w:rPr>
                <w:rFonts w:ascii="Arial" w:cs="Arial" w:eastAsia="Arial" w:hAnsi="Arial"/>
                <w:sz w:val="18"/>
                <w:szCs w:val="18"/>
                <w:color w:val="0000EE"/>
              </w:rPr>
            </w:pPr>
            <w:hyperlink w:anchor="page161">
              <w:r>
                <w:rPr>
                  <w:rFonts w:ascii="Arial" w:cs="Arial" w:eastAsia="Arial" w:hAnsi="Arial"/>
                  <w:sz w:val="18"/>
                  <w:szCs w:val="18"/>
                  <w:color w:val="0000EE"/>
                </w:rPr>
                <w:t>CHANGE IN REGISTRANT’S CERTIFYING ACCOUNTANT</w:t>
              </w:r>
            </w:hyperlink>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152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16G.</w:t>
            </w:r>
          </w:p>
        </w:tc>
        <w:tc>
          <w:tcPr>
            <w:tcW w:w="234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3"/>
              </w:rPr>
            </w:pPr>
            <w:hyperlink w:anchor="page162">
              <w:r>
                <w:rPr>
                  <w:rFonts w:ascii="Arial" w:cs="Arial" w:eastAsia="Arial" w:hAnsi="Arial"/>
                  <w:sz w:val="18"/>
                  <w:szCs w:val="18"/>
                  <w:color w:val="0000EE"/>
                  <w:w w:val="93"/>
                </w:rPr>
                <w:t>CORPORATE GOVERNANCE</w:t>
              </w:r>
            </w:hyperlink>
          </w:p>
        </w:tc>
        <w:tc>
          <w:tcPr>
            <w:tcW w:w="6500" w:type="dxa"/>
            <w:vAlign w:val="bottom"/>
            <w:tcBorders>
              <w:bottom w:val="single" w:sz="8" w:color="CCEEFF"/>
            </w:tcBorders>
            <w:gridSpan w:val="15"/>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gridSpan w:val="3"/>
          </w:tcPr>
          <w:p>
            <w:pPr>
              <w:spacing w:after="0" w:line="176" w:lineRule="exact"/>
              <w:rPr>
                <w:sz w:val="20"/>
                <w:szCs w:val="20"/>
                <w:color w:val="auto"/>
              </w:rPr>
            </w:pPr>
            <w:r>
              <w:rPr>
                <w:rFonts w:ascii="Arial" w:cs="Arial" w:eastAsia="Arial" w:hAnsi="Arial"/>
                <w:sz w:val="18"/>
                <w:szCs w:val="18"/>
                <w:color w:val="auto"/>
              </w:rPr>
              <w:t>ITEM 16H.</w:t>
            </w:r>
          </w:p>
        </w:tc>
        <w:tc>
          <w:tcPr>
            <w:tcW w:w="8840" w:type="dxa"/>
            <w:vAlign w:val="bottom"/>
            <w:gridSpan w:val="29"/>
          </w:tcPr>
          <w:p>
            <w:pPr>
              <w:spacing w:after="0" w:line="176" w:lineRule="exact"/>
              <w:rPr>
                <w:rFonts w:ascii="Arial" w:cs="Arial" w:eastAsia="Arial" w:hAnsi="Arial"/>
                <w:sz w:val="18"/>
                <w:szCs w:val="18"/>
                <w:color w:val="0000EE"/>
              </w:rPr>
            </w:pPr>
            <w:hyperlink w:anchor="page162">
              <w:r>
                <w:rPr>
                  <w:rFonts w:ascii="Arial" w:cs="Arial" w:eastAsia="Arial" w:hAnsi="Arial"/>
                  <w:sz w:val="18"/>
                  <w:szCs w:val="18"/>
                  <w:color w:val="0000EE"/>
                </w:rPr>
                <w:t>MINE SAFETY DISCLOSURE</w:t>
              </w:r>
            </w:hyperlink>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153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16I.</w:t>
            </w:r>
          </w:p>
        </w:tc>
        <w:tc>
          <w:tcPr>
            <w:tcW w:w="8840" w:type="dxa"/>
            <w:vAlign w:val="bottom"/>
            <w:gridSpan w:val="29"/>
            <w:shd w:val="clear" w:color="auto" w:fill="CCEEFF"/>
          </w:tcPr>
          <w:p>
            <w:pPr>
              <w:spacing w:after="0" w:line="176" w:lineRule="exact"/>
              <w:rPr>
                <w:rFonts w:ascii="Arial" w:cs="Arial" w:eastAsia="Arial" w:hAnsi="Arial"/>
                <w:sz w:val="18"/>
                <w:szCs w:val="18"/>
                <w:color w:val="0000EE"/>
              </w:rPr>
            </w:pPr>
            <w:hyperlink w:anchor="page162">
              <w:r>
                <w:rPr>
                  <w:rFonts w:ascii="Arial" w:cs="Arial" w:eastAsia="Arial" w:hAnsi="Arial"/>
                  <w:sz w:val="18"/>
                  <w:szCs w:val="18"/>
                  <w:color w:val="0000EE"/>
                </w:rPr>
                <w:t>DISCLOSURE REGARDING FOREIGN JURISDICTIONS THAT PREVENT INSPECTIONS</w:t>
              </w:r>
            </w:hyperlink>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Borders>
              <w:top w:val="single" w:sz="8" w:color="CCEEFF"/>
            </w:tcBorders>
            <w:gridSpan w:val="3"/>
          </w:tcPr>
          <w:p>
            <w:pPr>
              <w:spacing w:after="0" w:line="176" w:lineRule="exact"/>
              <w:rPr>
                <w:rFonts w:ascii="Arial" w:cs="Arial" w:eastAsia="Arial" w:hAnsi="Arial"/>
                <w:sz w:val="18"/>
                <w:szCs w:val="18"/>
                <w:color w:val="0000EE"/>
              </w:rPr>
            </w:pPr>
            <w:hyperlink w:anchor="page163">
              <w:r>
                <w:rPr>
                  <w:rFonts w:ascii="Arial" w:cs="Arial" w:eastAsia="Arial" w:hAnsi="Arial"/>
                  <w:sz w:val="18"/>
                  <w:szCs w:val="18"/>
                  <w:color w:val="0000EE"/>
                </w:rPr>
                <w:t>PART III</w:t>
              </w:r>
            </w:hyperlink>
          </w:p>
        </w:tc>
        <w:tc>
          <w:tcPr>
            <w:tcW w:w="6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17.</w:t>
            </w:r>
          </w:p>
        </w:tc>
        <w:tc>
          <w:tcPr>
            <w:tcW w:w="21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7"/>
              </w:rPr>
            </w:pPr>
            <w:hyperlink w:anchor="page163">
              <w:r>
                <w:rPr>
                  <w:rFonts w:ascii="Arial" w:cs="Arial" w:eastAsia="Arial" w:hAnsi="Arial"/>
                  <w:sz w:val="18"/>
                  <w:szCs w:val="18"/>
                  <w:color w:val="0000EE"/>
                  <w:w w:val="97"/>
                </w:rPr>
                <w:t>FINANCIAL STATEMENTS</w:t>
              </w:r>
            </w:hyperlink>
          </w:p>
        </w:tc>
        <w:tc>
          <w:tcPr>
            <w:tcW w:w="6680" w:type="dxa"/>
            <w:vAlign w:val="bottom"/>
            <w:tcBorders>
              <w:bottom w:val="single" w:sz="8" w:color="CCEEFF"/>
            </w:tcBorders>
            <w:gridSpan w:val="16"/>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gridSpan w:val="3"/>
          </w:tcPr>
          <w:p>
            <w:pPr>
              <w:spacing w:after="0" w:line="176" w:lineRule="exact"/>
              <w:rPr>
                <w:sz w:val="20"/>
                <w:szCs w:val="20"/>
                <w:color w:val="auto"/>
              </w:rPr>
            </w:pPr>
            <w:r>
              <w:rPr>
                <w:rFonts w:ascii="Arial" w:cs="Arial" w:eastAsia="Arial" w:hAnsi="Arial"/>
                <w:sz w:val="18"/>
                <w:szCs w:val="18"/>
                <w:color w:val="auto"/>
              </w:rPr>
              <w:t>ITEM 18.</w:t>
            </w:r>
          </w:p>
        </w:tc>
        <w:tc>
          <w:tcPr>
            <w:tcW w:w="8840" w:type="dxa"/>
            <w:vAlign w:val="bottom"/>
            <w:gridSpan w:val="29"/>
          </w:tcPr>
          <w:p>
            <w:pPr>
              <w:spacing w:after="0" w:line="176" w:lineRule="exact"/>
              <w:rPr>
                <w:rFonts w:ascii="Arial" w:cs="Arial" w:eastAsia="Arial" w:hAnsi="Arial"/>
                <w:sz w:val="18"/>
                <w:szCs w:val="18"/>
                <w:color w:val="0000EE"/>
              </w:rPr>
            </w:pPr>
            <w:hyperlink w:anchor="page163">
              <w:r>
                <w:rPr>
                  <w:rFonts w:ascii="Arial" w:cs="Arial" w:eastAsia="Arial" w:hAnsi="Arial"/>
                  <w:sz w:val="18"/>
                  <w:szCs w:val="18"/>
                  <w:color w:val="0000EE"/>
                </w:rPr>
                <w:t>FINANCIAL STATEMENTS</w:t>
              </w:r>
            </w:hyperlink>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154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19.</w:t>
            </w:r>
          </w:p>
        </w:tc>
        <w:tc>
          <w:tcPr>
            <w:tcW w:w="8840" w:type="dxa"/>
            <w:vAlign w:val="bottom"/>
            <w:gridSpan w:val="29"/>
            <w:shd w:val="clear" w:color="auto" w:fill="CCEEFF"/>
          </w:tcPr>
          <w:p>
            <w:pPr>
              <w:spacing w:after="0" w:line="176" w:lineRule="exact"/>
              <w:rPr>
                <w:rFonts w:ascii="Arial" w:cs="Arial" w:eastAsia="Arial" w:hAnsi="Arial"/>
                <w:sz w:val="18"/>
                <w:szCs w:val="18"/>
                <w:color w:val="0000EE"/>
              </w:rPr>
            </w:pPr>
            <w:hyperlink w:anchor="page163">
              <w:r>
                <w:rPr>
                  <w:rFonts w:ascii="Arial" w:cs="Arial" w:eastAsia="Arial" w:hAnsi="Arial"/>
                  <w:sz w:val="18"/>
                  <w:szCs w:val="18"/>
                  <w:color w:val="0000EE"/>
                </w:rPr>
                <w:t>EXHIBITS</w:t>
              </w:r>
            </w:hyperlink>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Unless otherwise indicated or the context otherwise requires, all references in this Annual Report to the terms “the Company,” “we”, “us” and “our” refer to (i) GH Research Ireland Limited prior to the completion of the Corporate Reorganization (as defined herein) and (ii) GH Research PLC (and, where the context requires, its subsidiary) following the completion of the Corporate Reorganization. For information on our Corporate Reorganization, see “Item 4. Information on the Company—A. History and Development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Our financial information is presented in U.S. dollars. We prepare our consolidated financial statements in accordance with the International Financial Reporting Standards, or IFRS, as issued by the International Accounting Standards Board, or IASB. The terms “dollar,” “USD” or “$” refer to U.S. dollars and all references to “€” are to euro.</w:t>
      </w:r>
    </w:p>
    <w:p>
      <w:pPr>
        <w:spacing w:after="0" w:line="184"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Prior to our initial public offering and the related Corporate Reorganization, we conducted our business through GH Research Ireland Limited, and therefore certain historical financial statements present the results of operations of GH Research Ireland Limited. Our subsidiary, GH Research Ireland Limited, historically maintained, and as our subsidiary continues to maintain, books and records in euro, and as a result those certain historical financial statements present financial information which had been converted to U.S. dollars. Our financial statements are now prepared on a consolidated basis and present the consolidated results of operations of GH Research PLC and our subsidiary, GH Research Ireland Limited.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This Annual Report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or estimates.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Rounding</w:t>
      </w:r>
    </w:p>
    <w:p>
      <w:pPr>
        <w:spacing w:after="0" w:line="22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have made rounding adjustments to some of the figures included in this Annual Report. Accordingly, numerical figures shown as totals in some tables may not be an arithmetic aggregation of the figures that preceded them.</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This Annual Report contains statements that constitute forward-looking statements. All statements other than statements of historical facts contained in this Annual Report, including statements regarding our future results of operations and financial position, business strategy, product candidates, research pipeline, ongoing and planned preclinical studies and clinical trials, regulatory submissions and approvals, research and development costs, timing and likelihood of success, as well as plans and objectives of management for future operations are forward-looking statements. Many of the forward-looking statements contained in this Annual Report can be identified by the use of forward-looking words such as “anticipate,” “believe,” “could,” “expect,” “should,” “plan,” “intend,” “estimate,” “will” and “potential,” among others.</w:t>
      </w:r>
    </w:p>
    <w:p>
      <w:pPr>
        <w:spacing w:after="0" w:line="17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Forward-looking statements appear in a number of places in this Annual Report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“Item 3. Key Information—D. Risk Factors.” These forward-looking statements include:</w:t>
      </w:r>
    </w:p>
    <w:p>
      <w:pPr>
        <w:spacing w:after="0" w:line="18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commencement, timing, progress and results of our research and development programs, preclinical studies and clinical trials;</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progress and results of developing and conducting clinical trials for our GH001, GH002 and GH003 product candidates and the medical devices required to deliver these product candidates for our initial and any additional indications;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efforts to expand into other jurisdictions such as the United States and in the European Union;</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related to the technical development and expansion of our external manufacturing capabilities for our GH001, GH002 and GH003 product candidates as well as the medical devices required to deliver these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reliance on the success of our GH001, GH002 and GH003 product candidates;</w:t>
      </w:r>
    </w:p>
    <w:p>
      <w:pPr>
        <w:spacing w:after="0" w:line="225" w:lineRule="exact"/>
        <w:rPr>
          <w:rFonts w:ascii="Arial" w:cs="Arial" w:eastAsia="Arial" w:hAnsi="Arial"/>
          <w:sz w:val="18"/>
          <w:szCs w:val="18"/>
          <w:color w:val="auto"/>
        </w:rPr>
      </w:pPr>
    </w:p>
    <w:p>
      <w:pPr>
        <w:ind w:left="660" w:right="22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 by the U.S. Food and Drug Administration, or the FDA, the European Medicines Agency, or the EMA, or other comparable foreign regulatory authorities, for our GH001, GH002 and GH003 product candidates and our initial and any additional indications;</w:t>
      </w:r>
    </w:p>
    <w:p>
      <w:pPr>
        <w:spacing w:after="0" w:line="183"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the size of the eligible patient populations for our GH001, GH002 and GH003 product candidates, if approved for commercial use;</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identify third-party clinical sites to conduct trials and our ability to identify and train appropriately qualified therapists to administer our investigational therapy;</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the COVID-19 pandemic on aspects of our business or operations, including delays in the regulatory approval process, contracting with clinical sites and engaging in clinical trials;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implement our business model and our strategic plans for our business and GH001, GH002 and GH003 product candidates;</w:t>
      </w:r>
    </w:p>
    <w:p>
      <w:pPr>
        <w:spacing w:after="0" w:line="236"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identify, develop or acquire and obtain approval by the FDA, EMA or other comparable foreign regulatory authorities of medical devices required to deliver our GH001, GH002 and GH003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commercialization and marketing capabilities and strategy;</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of undesirable clinical trial outcomes and potential adverse public perception regarding the use of 5-MeO-DMT and psychedelics generally on the regulatory approval process and future development of our product;</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pricing, coverage and reimbursement of our GH001, GH002 and GH003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GH001, GH002 and GH003 product candidates;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reliance on third-party suppliers for our nonclinical study and clinical trial drug substance and product candidate supplies, as well as key raw materials used in our manufacturing processes;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potential benefits of our GH001, GH002 and GH003 product candidates and our approach generally;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around regulatory development paths and with respect to CSA (as defined below) classification;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of protection we and any current or future licensors or collaboration partners are able to establish and maintain for intellectual property rights covering our GH001, GH002 and GH003 product candidates;</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operate our business without infringing, misappropriating, or otherwise violating the intellectual property rights and proprietary technology of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including enforcing and defending intellectual property-related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developments in the United States, under the laws and regulations of the European Union and other jurisdictions;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remediate our material weaknesses in our internal control over financial reporting;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of time that our existing cash will be sufficient to fund our operations and capital expenditures;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estimates regarding expenses, capital requirements and needs for additional financing;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effectively manage our anticipated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we are classified as a passive foreign investment company for current and future periods;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expectations regarding the time during which we will be an emerging growth company under the JOBS Act and as a foreign private issuer;</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future trading price of the ordinary shares and impact of securities analysts’ reports on these prices;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“Item 3. Key Information—D. Risk Factors.”</w:t>
      </w:r>
    </w:p>
    <w:p>
      <w:pPr>
        <w:spacing w:after="0" w:line="200" w:lineRule="exact"/>
        <w:rPr>
          <w:sz w:val="20"/>
          <w:szCs w:val="20"/>
          <w:color w:val="auto"/>
        </w:rPr>
      </w:pPr>
    </w:p>
    <w:p>
      <w:pPr>
        <w:spacing w:after="0" w:line="210"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These forward-looking statements speak only as of the date of this Annual Report and are subject to a number of risks, uncertainties and assumptions described under the sections in this Annual Report entitled “Item 3. Key Information—D. Risk Factors” and “Item 5. Operating and Financial Review and Prospects” and elsewhere in this Annual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organized under the laws of Ireland and all of our assets are located outside of the United States. In addition, certain members of our board of directors, and all of our officers, as well as certain experts named herein, reside outside the United States. As a result, it may be difficult for investors to effect service of process within the United States upon us or such other persons residing outside the United States, or to enforce outside the United States judgments obtained against such persons in U.S. courts in any action, including actions predicated upon the civil liability provisions of the U.S. federal securities laws. In addition, it may be difficult for investors to enforce, in original actions brought in courts in jurisdictions located outside the United States, rights predicated upon the U.S. federal securities laws.</w:t>
      </w:r>
    </w:p>
    <w:p>
      <w:pPr>
        <w:spacing w:after="0" w:line="37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225" w:lineRule="exact"/>
        <w:rPr>
          <w:sz w:val="20"/>
          <w:szCs w:val="20"/>
          <w:color w:val="auto"/>
        </w:rPr>
      </w:pPr>
    </w:p>
    <w:p>
      <w:pPr>
        <w:ind w:left="340" w:right="8240" w:hanging="332"/>
        <w:spacing w:after="0" w:line="500" w:lineRule="auto"/>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Directors and Senior Management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Advisers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b w:val="1"/>
          <w:bCs w:val="1"/>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Auditors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225" w:lineRule="exact"/>
        <w:rPr>
          <w:sz w:val="20"/>
          <w:szCs w:val="20"/>
          <w:color w:val="auto"/>
        </w:rPr>
      </w:pPr>
    </w:p>
    <w:p>
      <w:pPr>
        <w:jc w:val="both"/>
        <w:ind w:left="340" w:right="9740" w:hanging="332"/>
        <w:spacing w:after="0" w:line="563" w:lineRule="auto"/>
        <w:tabs>
          <w:tab w:leader="none" w:pos="34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Offer Statistics </w:t>
      </w:r>
      <w:r>
        <w:rPr>
          <w:rFonts w:ascii="Arial" w:cs="Arial" w:eastAsia="Arial" w:hAnsi="Arial"/>
          <w:sz w:val="16"/>
          <w:szCs w:val="16"/>
          <w:color w:val="auto"/>
        </w:rPr>
        <w:t>Not applicable.</w:t>
      </w:r>
    </w:p>
    <w:p>
      <w:pPr>
        <w:ind w:left="340" w:right="8340" w:hanging="332"/>
        <w:spacing w:after="0" w:line="500" w:lineRule="auto"/>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Method And Expected Timetable </w:t>
      </w:r>
      <w:r>
        <w:rPr>
          <w:rFonts w:ascii="Arial" w:cs="Arial" w:eastAsia="Arial" w:hAnsi="Arial"/>
          <w:sz w:val="18"/>
          <w:szCs w:val="18"/>
          <w:color w:val="auto"/>
        </w:rPr>
        <w:t>Not applicable.</w:t>
      </w:r>
    </w:p>
    <w:p>
      <w:pPr>
        <w:spacing w:after="0" w:line="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2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1" w:lineRule="exact"/>
        <w:rPr>
          <w:rFonts w:ascii="Arial" w:cs="Arial" w:eastAsia="Arial" w:hAnsi="Arial"/>
          <w:sz w:val="18"/>
          <w:szCs w:val="18"/>
          <w:color w:val="auto"/>
        </w:rPr>
      </w:pPr>
    </w:p>
    <w:p>
      <w:pPr>
        <w:ind w:left="340" w:right="8400" w:hanging="332"/>
        <w:spacing w:after="0" w:line="500" w:lineRule="auto"/>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340" w:right="7640" w:hanging="332"/>
        <w:spacing w:after="0" w:line="500" w:lineRule="auto"/>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i w:val="1"/>
          <w:iCs w:val="1"/>
          <w:color w:val="auto"/>
        </w:rPr>
        <w:t>Our business is subject to a number of risks. You should carefully consider all of the information set forth in this Annual Report and in other documents we file with or furnish to the U.S. Securities and Exchange Commission, or SEC, including the following risk factors, before deciding to invest in or to maintain an investment in our securities. Our business, as well as our reputation, financial condition, results of operations, and share price, could be materially adversely affected by any of these risks, as well as other risks and uncertainties not currently known to us or not currently considered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ability to implement our business strategy is subject to numerous risks, as more fully described in this section. These risks include, among others:</w:t>
      </w:r>
    </w:p>
    <w:p>
      <w:pPr>
        <w:spacing w:after="0" w:line="248"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a clinical-stage biopharmaceutical company and we have incurred significant losses since our inception. We expect that we will continue to incur significant losses for the foreseeable future;</w:t>
      </w:r>
    </w:p>
    <w:p>
      <w:pPr>
        <w:spacing w:after="0" w:line="170" w:lineRule="exact"/>
        <w:rPr>
          <w:rFonts w:ascii="Arial" w:cs="Arial" w:eastAsia="Arial" w:hAnsi="Arial"/>
          <w:sz w:val="18"/>
          <w:szCs w:val="18"/>
          <w:color w:val="auto"/>
        </w:rPr>
      </w:pPr>
    </w:p>
    <w:p>
      <w:pPr>
        <w:ind w:left="660" w:right="48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will need substantial additional funding, which may not be available on acceptable terms, or at all. If we are unable to raise capital when needed, we could be forced to delay, reduce or eliminate our product discovery and development programs or commercialization efforts;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Drug and drug-device combination product development is a highly uncertain undertaking and involves a substantial degree of risk;</w:t>
      </w:r>
    </w:p>
    <w:p>
      <w:pPr>
        <w:spacing w:after="0" w:line="225" w:lineRule="exact"/>
        <w:rPr>
          <w:rFonts w:ascii="Arial" w:cs="Arial" w:eastAsia="Arial" w:hAnsi="Arial"/>
          <w:sz w:val="18"/>
          <w:szCs w:val="18"/>
          <w:color w:val="auto"/>
        </w:rPr>
      </w:pPr>
    </w:p>
    <w:p>
      <w:pPr>
        <w:ind w:left="660" w:right="22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GH001, GH002 and GH003 are investigational 5-MeO-DMT therapies based on a novel technology, which makes it difficult to predict the time and cost of development and of subsequently obtaining regulatory approval. To our knowledge, no such therapies have been approved in the United States nor the European Union for commercialization;</w:t>
      </w:r>
    </w:p>
    <w:p>
      <w:pPr>
        <w:spacing w:after="0" w:line="183" w:lineRule="exact"/>
        <w:rPr>
          <w:rFonts w:ascii="Arial" w:cs="Arial" w:eastAsia="Arial" w:hAnsi="Arial"/>
          <w:sz w:val="18"/>
          <w:szCs w:val="18"/>
          <w:color w:val="auto"/>
        </w:rPr>
      </w:pPr>
    </w:p>
    <w:p>
      <w:pPr>
        <w:ind w:left="660" w:right="20" w:hanging="328"/>
        <w:spacing w:after="0" w:line="28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Clinical development involves a lengthy, complex and expensive process, with an uncertain outcome. The outcome of nonclinical testing and early clinical trials may not be predictive of the success of later clinical trials, and the results of our clinical trials, which to date have only been conducted in the Netherlands, may not satisfy the requirements of the FDA, EMA or other comparable foreign regulatory authorities;</w:t>
      </w:r>
    </w:p>
    <w:p>
      <w:pPr>
        <w:spacing w:after="0" w:line="16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or have other properties that could delay or prevent their regulatory approval, limit their commercial potential or result in significant negative consequences following regulatory approval, if obtained;</w:t>
      </w:r>
    </w:p>
    <w:p>
      <w:pPr>
        <w:spacing w:after="0" w:line="170" w:lineRule="exact"/>
        <w:rPr>
          <w:rFonts w:ascii="Arial" w:cs="Arial" w:eastAsia="Arial" w:hAnsi="Arial"/>
          <w:sz w:val="18"/>
          <w:szCs w:val="18"/>
          <w:color w:val="auto"/>
        </w:rPr>
      </w:pPr>
    </w:p>
    <w:p>
      <w:pPr>
        <w:ind w:left="660" w:right="60" w:hanging="328"/>
        <w:spacing w:after="0" w:line="272"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GH001, GH002 and GH003, and any future product candidates we may develop, are subject to controlled substance laws and regulations in the territories where the product will be marketed, such as the United States, the European Union, the United Kingdom and the rest of Europe, as well as the UN international drug control treaties, and failure to comply with these laws and regulations, or the cost of compliance with these laws and regulations, may adversely affect the results of our business operations, both during clinical development and post-approval, and our financial condition. In addition, during the review process of GH001, GH002 and GH003, and prior to approval, the FDA, EMA and/or other comparable foreign regulatory authorities may require additional data, including with respect to whether GH001, GH002 or GH003 has abuse potential. This may delay approval and any potential rescheduling process;</w:t>
      </w:r>
    </w:p>
    <w:p>
      <w:pPr>
        <w:spacing w:after="0" w:line="177" w:lineRule="exact"/>
        <w:rPr>
          <w:rFonts w:ascii="Arial" w:cs="Arial" w:eastAsia="Arial" w:hAnsi="Arial"/>
          <w:sz w:val="17"/>
          <w:szCs w:val="17"/>
          <w:color w:val="auto"/>
        </w:rPr>
      </w:pPr>
    </w:p>
    <w:p>
      <w:pPr>
        <w:ind w:left="660" w:right="200" w:hanging="328"/>
        <w:spacing w:after="0" w:line="279"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5-MeO-DMT is currently classified as a Schedule I drug in the United States and any product containing this substance, such as GH001, GH002 and GH003, must be rescheduled to be marketed. There can be no assurance that the Drug Enforcement Administration, or DEA, will make a favorable scheduling decision. Even assuming categorization as a Schedule II or lower controlled substance (i.e., Schedule III, IV or V) at the federal level, such substances would also require scheduling determinations under state laws and regulations;</w:t>
      </w:r>
    </w:p>
    <w:p>
      <w:pPr>
        <w:spacing w:after="0" w:line="171" w:lineRule="exact"/>
        <w:rPr>
          <w:rFonts w:ascii="Arial" w:cs="Arial" w:eastAsia="Arial" w:hAnsi="Arial"/>
          <w:sz w:val="17"/>
          <w:szCs w:val="17"/>
          <w:color w:val="auto"/>
        </w:rPr>
      </w:pPr>
    </w:p>
    <w:p>
      <w:pPr>
        <w:ind w:left="660" w:right="3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reclassification of 5-MeO-DMT in the United States could create additional regulatory burdens on our operations and negatively affect our results of operations;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commercial success depends upon attaining significant market acceptance of our product candidates, if approved, among physicians, patients, third-party payors and other members of the medical community;</w:t>
      </w:r>
    </w:p>
    <w:p>
      <w:pPr>
        <w:spacing w:after="0" w:line="170" w:lineRule="exact"/>
        <w:rPr>
          <w:rFonts w:ascii="Arial" w:cs="Arial" w:eastAsia="Arial" w:hAnsi="Arial"/>
          <w:sz w:val="18"/>
          <w:szCs w:val="18"/>
          <w:color w:val="auto"/>
        </w:rPr>
      </w:pPr>
    </w:p>
    <w:p>
      <w:pPr>
        <w:ind w:left="660" w:right="240" w:hanging="328"/>
        <w:spacing w:after="0" w:line="31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 candidates, if approved, we may not be able to generate product revenue;</w:t>
      </w:r>
    </w:p>
    <w:p>
      <w:pPr>
        <w:spacing w:after="0" w:line="148" w:lineRule="exact"/>
        <w:rPr>
          <w:rFonts w:ascii="Arial" w:cs="Arial" w:eastAsia="Arial" w:hAnsi="Arial"/>
          <w:sz w:val="16"/>
          <w:szCs w:val="16"/>
          <w:color w:val="auto"/>
        </w:rPr>
      </w:pPr>
    </w:p>
    <w:p>
      <w:pPr>
        <w:ind w:left="660" w:right="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and commercialization strategy depends on our ability to identify, qualify, prepare, certify, and support third-party clinics or treatment centers offering any of our product candidates, if approved. If we are unable to do so, our commercialization prospects would be limited and our business, financial condition, and results of operations would be harmed;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rely on applications for patents and other intellectual property rights to protect our GH001, GH002 and GH003 product candidates, the prosecution, enforcement, defense and maintenance of which may be challenging and costly. Failure to adequately prosecute, maintain, enforce or protect these rights could harm our ability to compete and impair our business;</w:t>
      </w:r>
    </w:p>
    <w:p>
      <w:pPr>
        <w:spacing w:after="0" w:line="183" w:lineRule="exact"/>
        <w:rPr>
          <w:rFonts w:ascii="Arial" w:cs="Arial" w:eastAsia="Arial" w:hAnsi="Arial"/>
          <w:sz w:val="18"/>
          <w:szCs w:val="18"/>
          <w:color w:val="auto"/>
        </w:rPr>
      </w:pPr>
    </w:p>
    <w:p>
      <w:pPr>
        <w:ind w:left="660" w:right="14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rely on third parties to assist in conducting our nonclinical studies and clinical trials. If they do not perform satisfactorily, we may not be able to initiate new clinical trials, successfully complete clinical trials, obtain regulatory approval or commercialize our product candidates, or such approval or commercialization may be delayed, and our business could be substantially harmed;</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20" w:hanging="328"/>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development and manufacture of our active pharmaceutical ingredients, product candidates and medical devices required to deliver such product candidates is complex, and we may encounter difficulties during further development or in production. We currently rely completely on third parties to develop, formulate and manufacture our nonclinical study and clinical trial supplies. The development and commercialization of any of our active pharmaceutical ingredients, product candidates and medical devices required to deliver such product candidates could be stopped, delayed or made less profitable if those third parties fail to provide us with sufficient quantities of such drug supplies or fail to do so at acceptable quality levels, including in accordance with rigorously enforced regulatory requirements or contractual obligations, and our operations could be harmed as a result;</w:t>
      </w:r>
    </w:p>
    <w:p>
      <w:pPr>
        <w:spacing w:after="0" w:line="19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pandemic, epidemic or outbreak of an infectious disease in Ireland or worldwide may adversely affect our business;</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depend heavily on our executive officers, principal consultants and others, and the loss of their services would materially harm our business; and</w:t>
      </w:r>
    </w:p>
    <w:p>
      <w:pPr>
        <w:spacing w:after="0" w:line="170" w:lineRule="exact"/>
        <w:rPr>
          <w:rFonts w:ascii="Arial" w:cs="Arial" w:eastAsia="Arial" w:hAnsi="Arial"/>
          <w:sz w:val="18"/>
          <w:szCs w:val="18"/>
          <w:color w:val="auto"/>
        </w:rPr>
      </w:pPr>
    </w:p>
    <w:p>
      <w:pPr>
        <w:ind w:left="660" w:hanging="328"/>
        <w:spacing w:after="0" w:line="30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have identified material weaknesses in our internal control over financial reporting in connection with the audit of our financial statements for the years ended December 31, 2019, 2020 and 2021, and we may identify additional material weaknesses. If our remediation of these material weaknesses is not effective, or if we experience additional material weaknesses or otherwise fail to maintain an effective system of internal controls in the future, our ability to accurately or timely report our financial condition or results of operations may be adversely affected.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left="180" w:right="120"/>
        <w:spacing w:after="0" w:line="277" w:lineRule="auto"/>
        <w:rPr>
          <w:sz w:val="20"/>
          <w:szCs w:val="20"/>
          <w:color w:val="auto"/>
        </w:rPr>
      </w:pPr>
      <w:r>
        <w:rPr>
          <w:rFonts w:ascii="Arial" w:cs="Arial" w:eastAsia="Arial" w:hAnsi="Arial"/>
          <w:sz w:val="18"/>
          <w:szCs w:val="18"/>
          <w:b w:val="1"/>
          <w:bCs w:val="1"/>
          <w:i w:val="1"/>
          <w:iCs w:val="1"/>
          <w:color w:val="auto"/>
        </w:rPr>
        <w:t>We are a clinical-stage biopharmaceutical company and we have incurred significant losses since our inception. We expect that we will continue to incur significant losses for the foreseeable future.</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We have no products approved for commercial sale and have not generated any revenue to date, and we will continue to incur significant research and development and other expenses related to our clinical development and ongoing operations. As a result, we are not profitable and have incurred losses in each period since our inception. Since our inception, we have devoted substantially all of our financial resources and efforts to research and development, including nonclinical studies, technical development and our clinical trials. Our financial condition and operating results, including net losses, may fluctuate significantly from quarter to quarter and year to year. Accordingly, you should not rely upon the results of any quarterly or annual periods as indications of future operating performance. Additionally, net losses and negative cash flows have had, and will continue to have, an adverse effect on our shareholders’ (deficit)/equity and working capital. Our net losses were $9.2 million and $446 thousand for the years ended December 31, 2021 and 2020. As of December 31, 2021, we had an accumulated deficit of $10 million. We expect to continue to incur significant losses for the foreseeable future, and we expect these losses to increase as we continue our research and development of, and seek regulatory approvals for, our product candidates in our initial and any additional indications as well as for other product candidates.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anticipate that our expenses will increase substantially if and as we:</w:t>
      </w:r>
    </w:p>
    <w:p>
      <w:pPr>
        <w:spacing w:after="0" w:line="225" w:lineRule="exact"/>
        <w:rPr>
          <w:sz w:val="20"/>
          <w:szCs w:val="20"/>
          <w:color w:val="auto"/>
        </w:rPr>
      </w:pPr>
    </w:p>
    <w:p>
      <w:pPr>
        <w:ind w:left="660" w:right="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develop and conduct clinical trials, including in expanded geographies such as the United States, for our GH001, GH002 and GH003 product candidates for our initial and any additional indications;</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both the technical development and expansion of our external manufacturing capabilities for our current product candidates GH001, GH002 and GH003 and of the medical devices required to deliver these product candidates;</w:t>
      </w: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initiate and continue research and development, including technical, nonclinical, clinical, and discovery efforts for any future product candidates;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to identify additional product candidates;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GH001, GH002 and GH003, including the medical devices required to deliver these product candidates, or any other product candidates that successfully complete clinical development;</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candidate and device development and help us comply with our obligations as a public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scientific, commercial and administrative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prepare, file, prosecute, maintain, protect and enforce our intellectual property rights and claims;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sales, marketing, distribution, manufacturing, supply chain and other commercial infrastructure in the future to commercialize various products for which we may obtain regulatory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 with ongoing regulatory requirements for products approved for commercial sale, if ever;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or in-license other product candidates, medical devices to deliver our product candidates, and other technologies;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increased costs as a result of operating as a public company.</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expenses could increase beyond our expectations if we are required by the FDA or other comparable foreign regulatory authorities, to perform clinical trials in addition to those that we currently expect, or if there are any delays in establishing appropriate manufacturing arrangements for our product candidates or for the medical devices required to deliver our product candidates, or if there are any delays in completing our clinical trials or the development of any of our product candidates or of the medical devices required to deliver our product candidates.</w:t>
      </w:r>
    </w:p>
    <w:p>
      <w:pPr>
        <w:spacing w:after="0" w:line="171" w:lineRule="exact"/>
        <w:rPr>
          <w:sz w:val="20"/>
          <w:szCs w:val="20"/>
          <w:color w:val="auto"/>
        </w:rPr>
      </w:pPr>
    </w:p>
    <w:p>
      <w:pPr>
        <w:ind w:left="180" w:right="40"/>
        <w:spacing w:after="0" w:line="342" w:lineRule="auto"/>
        <w:rPr>
          <w:sz w:val="20"/>
          <w:szCs w:val="20"/>
          <w:color w:val="auto"/>
        </w:rPr>
      </w:pPr>
      <w:r>
        <w:rPr>
          <w:rFonts w:ascii="Arial" w:cs="Arial" w:eastAsia="Arial" w:hAnsi="Arial"/>
          <w:sz w:val="16"/>
          <w:szCs w:val="16"/>
          <w:b w:val="1"/>
          <w:bCs w:val="1"/>
          <w:i w:val="1"/>
          <w:iCs w:val="1"/>
          <w:color w:val="auto"/>
        </w:rPr>
        <w:t>We will need substantial additional funding, which may not be available on acceptable terms, or at all. If we are unable to raise capital when needed, we could be forced to delay, reduce or eliminate our product discovery and development programs or commercialization efforts.</w:t>
      </w:r>
    </w:p>
    <w:p>
      <w:pPr>
        <w:spacing w:after="0" w:line="124"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expect to spend substantial amounts to continue the technical, nonclinical and clinical development of our current and future programs. If we are able to gain marketing approval for product candidates that we develop, including any indication for which we are developing or may develop our GH001, GH002 and GH003 product candidates, we may require additional amounts of cash in order to launch and commercialize such product candidates and the medical devices required to deliver such product candidates to the extent that such launch and commercialization is not the responsibility of a future collaborator that we may contract with in the future. In addition, other unanticipated costs may arise in the course of our development efforts. Because the design and outcome of our planned and anticipated clinical trials is highly uncertain, we cannot reasonably estimate the actual amounts necessary to successfully complete the development and commercialization of any product candidates we develop.</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25" w:lineRule="exact"/>
        <w:rPr>
          <w:sz w:val="20"/>
          <w:szCs w:val="20"/>
          <w:color w:val="auto"/>
        </w:rPr>
      </w:pPr>
    </w:p>
    <w:p>
      <w:pPr>
        <w:ind w:left="660" w:right="12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GH001, GH002 and GH003 product candidates, additional 5-MeO-DMT delivery approaches and the medical devices required to deliver these therapies for our initial and any additional indications, as well as other product candidates we may develop;</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660" w:right="28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uncertainty of, and the costs involved in, obtaining marketing approvals for our GH001, GH002 and GH003 product candidates including the medical devices required to deliver these therapies for our initial and any additional indications, and other product candidates we may develop and pursue;</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future product candidates that we may pursue and their development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jurisdictions in which we plan to seek regulatory approvals;</w:t>
      </w:r>
    </w:p>
    <w:p>
      <w:pPr>
        <w:spacing w:after="0" w:line="225"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approved, the costs of commercialization activities for GH001, GH002 and GH003 for any approved indications, or any other product candidate that receives regulatory approval to the extent such costs are not the responsibility of any future collaborators, including the costs and timing of establishing product sales, marketing, distribution, and manufacturing capabilities;</w:t>
      </w:r>
    </w:p>
    <w:p>
      <w:pPr>
        <w:spacing w:after="0" w:line="183"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receipt of regulatory approval, revenue, if any, received from commercial sales of GH001, GH002 and GH003 and the respective medical devices for any approved indications or any other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may in-license or acquire rights to other products, product candidates, medical devices or technologies;</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increase our office space, and establish a commercial infrastructure;</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and maintaining and protecting our intellectual property rights, including enforcing and defending intellectual property-related claims;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competing product and market developments;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ongoing costs of operating as a public company.</w:t>
      </w:r>
    </w:p>
    <w:p>
      <w:pPr>
        <w:spacing w:after="0" w:line="22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Any of our current or future license agreements may be terminated if we are unable to meet the payment or other obligations under the agreements.</w:t>
      </w:r>
    </w:p>
    <w:p>
      <w:pPr>
        <w:spacing w:after="0" w:line="171" w:lineRule="exact"/>
        <w:rPr>
          <w:sz w:val="20"/>
          <w:szCs w:val="20"/>
          <w:color w:val="auto"/>
        </w:rPr>
      </w:pPr>
    </w:p>
    <w:p>
      <w:pPr>
        <w:ind w:left="180" w:right="4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holders of our ordinary shares, restrict our operations or require us to relinquish rights to our technologies or product candidates.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expect our expenses to increase in connection with our planned operations. Until such time, if ever, that we can generate substantial product revenues, we expect to finance our cash needs through a combination of equity offerings, debt financings, convertible debt financings, strategic collaborations and licensing arrangements. In addition, we may seek additional capital due to favorable market conditions or strategic considerations, even if we believe that we have sufficient funds for our current or future operating plans.</w:t>
      </w:r>
    </w:p>
    <w:p>
      <w:pPr>
        <w:spacing w:after="0" w:line="18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may be diluted, and the terms of these securities could include liquidation or other preferences and anti-dilution protections that could adversely affect your rights as a shareholder. Debt financing, if available, may result in fixed payment obligations and may involve agreements that include covenants limiting or restricting our ability to take specific actions, such as incurring additional debt, making capital expenditures, creating liens, redeeming shares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If we raise additional funds through strategic collaborations or marketing, distribution, licensing and royalty arrangements with third parties, we may have to relinquish valuable rights to our intellectual property or technologies, future revenue streams, research programs or product candidates or to grant licenses on terms that may not be favorable to us or issue and sell our shares, which may result in dilution to our shareholders.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1" w:lineRule="exact"/>
        <w:rPr>
          <w:sz w:val="20"/>
          <w:szCs w:val="20"/>
          <w:color w:val="auto"/>
        </w:rPr>
      </w:pPr>
    </w:p>
    <w:p>
      <w:pPr>
        <w:ind w:left="180" w:right="140"/>
        <w:spacing w:after="0" w:line="257" w:lineRule="auto"/>
        <w:rPr>
          <w:sz w:val="20"/>
          <w:szCs w:val="20"/>
          <w:color w:val="auto"/>
        </w:rPr>
      </w:pPr>
      <w:r>
        <w:rPr>
          <w:rFonts w:ascii="Arial" w:cs="Arial" w:eastAsia="Arial" w:hAnsi="Arial"/>
          <w:sz w:val="18"/>
          <w:szCs w:val="18"/>
          <w:b w:val="1"/>
          <w:bCs w:val="1"/>
          <w:i w:val="1"/>
          <w:iCs w:val="1"/>
          <w:color w:val="auto"/>
        </w:rPr>
        <w:t>We are in the early stages of clinical drug development and have a very limited operating history and no products approved for commercial sale, which may make it difficult to evaluate our current business and predict our future success and viability. Since the number of patients included in our clinical trials is small and the follow-up is short, the results from such clinical trials may be less reliable than results achieved in larger clinical trials with longer follow-up, which may hinder our efforts to obtain regulatory approval for GH001, GH002, GH003 or any future product candidates.</w:t>
      </w:r>
    </w:p>
    <w:p>
      <w:pPr>
        <w:spacing w:after="0" w:line="188"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We are a clinical-stage biopharmaceutical company with a very limited operating history, focused on novel therapies which may be able to induce ultra-rapid and durable remissions in patients with depression and in other indications within our focus area of psychiatric and neurological disorders. We commenced operations in 2018, have no products approved for commercial sale, and have not generated any revenue from product sales. Drug development is a highly uncertain undertaking and involves a substantial degree of risk. The results of clinical trials with smaller sample sizes and shorter follow-up, such as our completed Phase 1 clinical trial in 22 healthy volunteers (GH001-HV-101), our completed Phase 1/2 clinical trial in 16 patients with Treatment-Resistant Depression, or TRD (GH001-TRD-102), both with seven days follow-up, or our completed Phase 1 clinical trial in 46 healthy volunteers (GH001-HV-103) with thirty days follow-up, can be disproportionately influenced by various biases associated with the conduct of small short-term clinical trials, such as the potential failure of the smaller sample size to accurately depict the features of the broader patient population, and the potential failure of shorter studies to accurately depict long-term safety and efficacy results, which limits the ability to generalize the results, thus making the clinical trial results less reliable than clinical trials with a larger number of patients and longer follow-up. As a result, there may be less certainty that such product candidate would achieve a statistically significant effect in any future clinical trials. If we conduct any future clinical trials of GH001, we may not achieve a statistically significant result or the same level of statistical significance, if any, that we might have anticipated based on the results observed in our initial Phase 1 and Phase 1/2 clinical trials. To date, our clinical trials have been conducted only in the Netherlands, and we have not initiated clinical trials for any other product candidate than GH001, not initiated or completed a pivotal clinical trial, obtained marketing approval for any product candidates, manufactured a commercial scale product or arranged for a third party to do so on our behalf, or conducted sales and marketing activities necessary for successful product commercialization. Our short operating history as a company makes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188" w:lineRule="exact"/>
        <w:rPr>
          <w:sz w:val="20"/>
          <w:szCs w:val="20"/>
          <w:color w:val="auto"/>
        </w:rPr>
      </w:pPr>
    </w:p>
    <w:p>
      <w:pPr>
        <w:ind w:left="180" w:right="160"/>
        <w:spacing w:after="0" w:line="340" w:lineRule="auto"/>
        <w:rPr>
          <w:sz w:val="20"/>
          <w:szCs w:val="20"/>
          <w:color w:val="auto"/>
        </w:rPr>
      </w:pPr>
      <w:r>
        <w:rPr>
          <w:rFonts w:ascii="Arial" w:cs="Arial" w:eastAsia="Arial" w:hAnsi="Arial"/>
          <w:sz w:val="15"/>
          <w:szCs w:val="15"/>
          <w:b w:val="1"/>
          <w:bCs w:val="1"/>
          <w:i w:val="1"/>
          <w:iCs w:val="1"/>
          <w:color w:val="auto"/>
        </w:rPr>
        <w:t>Due to the significant resources required for the development of our programs, and depending on our ability to access capital, we must prioritize development of certain product candidates. Moreover, we may expend our limited resources on programs that do not yield a successful product candidate or fail to capitalize on product candidates or indications that may be more profitable or for which there is a greater likelihood of success.</w:t>
      </w:r>
    </w:p>
    <w:p>
      <w:pPr>
        <w:spacing w:after="0" w:line="13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currently have one product candidate in clinical development and two product candidates in preclinical development. The development of these programs and product candidates, of the medical devices required to deliver these product candidates and of any potential future programs and product candidates require significant capital investment. Due to the significant resources required for the development of our programs and product candidates, we must focus our programs and product candidates on specific diseases and disease pathways and decide which product candidates to pursue and advance and the amount of resources to allocate to each. Our drug development strategy is to clinically test and seek regulatory approval for our product candidates in indications in which we believe there is the most evidence that we will be able to efficiently generate proof-of-concept data. We then intend to expand to clinical testing and seek regulatory approvals in other psychiatric and neurological disorders. However, even if our product candidates are able to gain regulatory approval in one indication, there is no guarantee that we will be able to expand to other indications, and we may expend significant resources in seeking such approvals.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we may focus resources on pursuing indications outside of psychiatric and neurological disorders based on the same strategic approach (e.g., mechanistic rationale, the availability of translational tools, clinical development path, commercial opportunity) we utilize in determining on which of our discovery programs to focus. Our decisions concerning the allocation of research, development, collaboration, management and financial resources toward particular product candidates or particular medical devices to deliver those product candidates, or therapeutic areas may not lead to the development of any viable commercial product and may divert resources away from better opportunities. Additionally, we may reprioritize product candidate development plans and activities at any time and delay or terminate development of any product candidates we identify. Similarly, our potential decisions to delay, terminate, or collaborate with third parties in respect of certain programs, product candidates, or medical devices to deliver those product candidates may subsequently also prove to be suboptimal and could cause us to miss valuable opportunities. If we make incorrect determinations regarding the viability or market potential of any of our programs or product candidates or misread trends in the biopharmaceutical industry, in particular for psychiatric and neurological disorders,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Exchange rate fluctuations may materially affect our results of operations and financial condition.</w:t>
      </w:r>
    </w:p>
    <w:p>
      <w:pPr>
        <w:spacing w:after="0" w:line="22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Due to the international scope of our operations, our assets, earnings and cash flows are influenced by movements in exchange rates of several currencies, particularly the euro, the U.S. dollar and the pound sterling. Our consolidated financial results are presented in U.S. dollars, while the results of GH Research Ireland Limited, our subsidiary, are prepared in euro. Changes in exchange rates between the U.S. dollar and the euro will affect the translation of our GH Research Ireland Limited’s financial results into U.S. dollars in reporting our consolidated results.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majority of our operating expenses are paid in euro and pound sterling. We also regularly acquire services, consumables and materials in euro and pound sterling. Further potential future revenue may be derived from abroad, particularly from the United States. As a result, our business and the price of our ordinary shares may be affected by fluctuations in foreign exchange rates between the euro, the U.S. dollar and the pound sterling, which may also have a significant impact on our results of operations and cash flows from period to period. Currently, we do not have any exchange rate hedging arrangements in place. See note 3 in the notes to our consolidated financial statements appearing elsewhere in this Annual Report for a description of foreign exchange risks.</w:t>
      </w:r>
    </w:p>
    <w:p>
      <w:pPr>
        <w:spacing w:after="0" w:line="192"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addition, the possible abandonment of the euro by one or more members of the European Union could materially affect our business in the future. Despite measures taken by the European Union to provide funding to certain EU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 member states, or in more extreme circumstances, the dissolution of the European Union. The effects on our business of a potential dissolution of the European Union, the exit of one or more EU member states from the European Union or the abandonment of the euro as a currency, are impossible to predict with certainty and any such events could have a material adverse effect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Research and Development and the Biopharmaceutical Industry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Drug and drug-device combination product development is a highly uncertain undertaking and involves a substantial degree of risk.</w:t>
      </w:r>
    </w:p>
    <w:p>
      <w:pPr>
        <w:spacing w:after="0" w:line="237" w:lineRule="exact"/>
        <w:rPr>
          <w:sz w:val="20"/>
          <w:szCs w:val="20"/>
          <w:color w:val="auto"/>
        </w:rPr>
      </w:pPr>
    </w:p>
    <w:p>
      <w:pPr>
        <w:jc w:val="both"/>
        <w:ind w:right="80" w:firstLine="324"/>
        <w:spacing w:after="0" w:line="311" w:lineRule="auto"/>
        <w:rPr>
          <w:sz w:val="20"/>
          <w:szCs w:val="20"/>
          <w:color w:val="auto"/>
        </w:rPr>
      </w:pPr>
      <w:r>
        <w:rPr>
          <w:rFonts w:ascii="Arial" w:cs="Arial" w:eastAsia="Arial" w:hAnsi="Arial"/>
          <w:sz w:val="16"/>
          <w:szCs w:val="16"/>
          <w:color w:val="auto"/>
        </w:rPr>
        <w:t>We have no products approved for commercial sale. To generate revenues from the sales of any approved products that are significant or large enough to achieve profitability, we must succeed, either alone or with third parties, in developing, obtaining regulatory approval for, manufacturing, and marketing therapies with significant commercial success. Our ability to generate revenue and achieve profitability depends on many factors, including:</w:t>
      </w:r>
    </w:p>
    <w:p>
      <w:pPr>
        <w:spacing w:after="0" w:line="149" w:lineRule="exact"/>
        <w:rPr>
          <w:sz w:val="20"/>
          <w:szCs w:val="20"/>
          <w:color w:val="auto"/>
        </w:rPr>
      </w:pPr>
    </w:p>
    <w:p>
      <w:pPr>
        <w:ind w:left="660" w:right="3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completing research and technical, nonclinical and clinical development of our product candidates and the medical devices required to deliver these product candidates;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5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including the medical devices required to deliver these product candidates for which we successfully complete clinical development and clinical trials;</w:t>
      </w:r>
    </w:p>
    <w:p>
      <w:pPr>
        <w:spacing w:after="0" w:line="170" w:lineRule="exact"/>
        <w:rPr>
          <w:rFonts w:ascii="Arial" w:cs="Arial" w:eastAsia="Arial" w:hAnsi="Arial"/>
          <w:sz w:val="18"/>
          <w:szCs w:val="18"/>
          <w:color w:val="auto"/>
        </w:rPr>
      </w:pPr>
    </w:p>
    <w:p>
      <w:pPr>
        <w:jc w:val="both"/>
        <w:ind w:left="660" w:right="40" w:hanging="328"/>
        <w:spacing w:after="0" w:line="286"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developing a sustainable and scalable manufacturing process for our product candidates and the medical devices required to deliver these product candidates, as well as establishing and maintaining commercially viable supply relationships with third parties that can provide adequate products and services to support clinical activities and commercial demand of our product candidates and medical devices;</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225" w:lineRule="exact"/>
        <w:rPr>
          <w:rFonts w:ascii="Arial" w:cs="Arial" w:eastAsia="Arial" w:hAnsi="Arial"/>
          <w:sz w:val="18"/>
          <w:szCs w:val="18"/>
          <w:color w:val="auto"/>
        </w:rPr>
      </w:pPr>
    </w:p>
    <w:p>
      <w:pPr>
        <w:ind w:left="660" w:right="1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successfully getting our product candidates rescheduled under the federal Comprehensive Drug Abuse Prevention and Control Act of 1970, also known as the Controlled Substances Act, or CSA, and comparable state laws by the DEA and other applicable regulatory agencies inside and outside the United States;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launching and successfully commercializing product candidates and the medical devices required to deliver these product candidates for which we obtain regulatory approval, either by collaborating with a partner or, if launched independently, by establishing a sales, marketing and distribution infrastructure;</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obtaining and maintaining an adequate price for our product candidates and devices in the countries where our products are commercialized;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adequate reimbursement for our product candidates and medical devices from payors;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receiving milestone and other payments under any future collaboration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maintaining, protecting, expanding and enforcing our portfolio of intellectual property rights, including patents, trade secrets and know-how;</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complying with laws and regulations, including laws applicable to controlled substances.</w:t>
      </w:r>
    </w:p>
    <w:p>
      <w:pPr>
        <w:spacing w:after="0" w:line="22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Because of the numerous risks and uncertainties associated with drug and drug-device combination product development, we are unable to predict the timing or amount of our expenses, or when we will be able to generate any meaningful revenue or achieve or maintain profitability, if ever.</w:t>
      </w:r>
    </w:p>
    <w:p>
      <w:pPr>
        <w:spacing w:after="0" w:line="124" w:lineRule="exact"/>
        <w:rPr>
          <w:sz w:val="20"/>
          <w:szCs w:val="20"/>
          <w:color w:val="auto"/>
        </w:rPr>
      </w:pPr>
    </w:p>
    <w:p>
      <w:pPr>
        <w:ind w:left="180" w:right="120"/>
        <w:spacing w:after="0" w:line="263" w:lineRule="auto"/>
        <w:rPr>
          <w:sz w:val="20"/>
          <w:szCs w:val="20"/>
          <w:color w:val="auto"/>
        </w:rPr>
      </w:pPr>
      <w:r>
        <w:rPr>
          <w:rFonts w:ascii="Arial" w:cs="Arial" w:eastAsia="Arial" w:hAnsi="Arial"/>
          <w:sz w:val="18"/>
          <w:szCs w:val="18"/>
          <w:b w:val="1"/>
          <w:bCs w:val="1"/>
          <w:i w:val="1"/>
          <w:iCs w:val="1"/>
          <w:color w:val="auto"/>
        </w:rPr>
        <w:t>GH001, GH002 and GH003 are investigational 5-MeO-DMT therapies based on a novel technology, which makes it difficult to predict the time and cost of development and of subsequently obtaining regulatory approval. To our knowledge, no such therapies have been approved in the United States nor the European Union for commercialization.</w:t>
      </w:r>
    </w:p>
    <w:p>
      <w:pPr>
        <w:spacing w:after="0" w:line="184"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have concentrated our research and development efforts on GH001, GH002 and GH003 for the treatment of psychiatric or neurological disorders and our future success depends on our successful development of these product candidates. Our risk of failure is high. We may experience problems or delays in developing GH001, GH002 and GH003. Any such problems or delays would cause unanticipated costs, and any development problems may not be solved. For example, we or another party may uncover a previously unknown risk associated with GH001, GH002 and/or GH003 that may be more problematic than we currently believe, and this may prolong the period of observation required for obtaining, or result in the failure to obtain, regulatory approval or may necessitate additional clinical testing.</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addition, the product specifications and the clinical trial requirements of the FDA, the European Commission, the EMA, and other regulatory authorities and the criteria these regulators use to determine the safety and efficacy of a product candidate vary substantially according to the type, complexity, novelty and intended use and market of such product candidate. The regulatory approval process for novel product candidate such as ours is unclear and can be more expensive and take longer than for other, better known or more extensively studied therapies. For example, because our GH001, GH002 and GH003 product candidates contain 5-MeO-DMT, which is categorized as a Schedule I controlled substance under the CSA, a Schedule 1 drug under the United Kingdom’s Misuse of Drugs Regulations 2001 and is similarly categorized by most states, foreign governments and the UN Convention on Psychotropic Substances, 1971, the development towards regulatory approval of GH001, GH002 and GH003 is especially challenging and uncertain. The high technical complexity of the development of drug-device combination products further increases risks and uncertainties towards regulatory approval of our product candidates. This risk and uncertainty is particularly high in the area of drug-device combination products for inhaled delivery of the drug component, such as with GH001. In the past, drug-device combination products have experienced significant delays due to technical challenges faced in achieving the tight technical performance specifications required for regulatory approval, or due to specific adverse events associated with inhaled delivery. We anticipate that GH001 and the device required to deliver GH001 will require significant additional technical development work before it achieves adequate technical performance specifications to allow regulatory approval. It is uncertain whether this development work will be successful. A similar context and similar risks apply to our GH002 and GH003 product candidates. To our knowledge, no 5-MeO-DMT therapies have received FDA approval nor received marketing authorization from the European Commission. As a result, it is difficult to determine how long it will take or how much it will cost to obtain regulatory approvals for GH001, GH002 and GH003 in either the United States or the European Union. Approvals by the European Commission may not be indicative of what the FDA may require for approval and vice versa.</w:t>
      </w:r>
    </w:p>
    <w:p>
      <w:pPr>
        <w:spacing w:after="0" w:line="174" w:lineRule="exact"/>
        <w:rPr>
          <w:sz w:val="20"/>
          <w:szCs w:val="20"/>
          <w:color w:val="auto"/>
        </w:rPr>
      </w:pPr>
    </w:p>
    <w:p>
      <w:pPr>
        <w:ind w:left="180" w:right="40"/>
        <w:spacing w:after="0" w:line="263" w:lineRule="auto"/>
        <w:rPr>
          <w:sz w:val="20"/>
          <w:szCs w:val="20"/>
          <w:color w:val="auto"/>
        </w:rPr>
      </w:pPr>
      <w:r>
        <w:rPr>
          <w:rFonts w:ascii="Arial" w:cs="Arial" w:eastAsia="Arial" w:hAnsi="Arial"/>
          <w:sz w:val="18"/>
          <w:szCs w:val="18"/>
          <w:b w:val="1"/>
          <w:bCs w:val="1"/>
          <w:i w:val="1"/>
          <w:iCs w:val="1"/>
          <w:color w:val="auto"/>
        </w:rPr>
        <w:t>Our business substantially depends upon the successful development of our GH001, GH002 and GH003 product candidates. Failure to successfully develop GH001 and/or GH002 and/or GH003 would prevent us from obtaining regulatory approval for, and successful commercialization of, GH001 and/or GH002 and/or GH003 and our business may be materially harmed.</w:t>
      </w:r>
    </w:p>
    <w:p>
      <w:pPr>
        <w:spacing w:after="0" w:line="184"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We currently have no products approved for sale and invest the majority of our efforts and financial resources in the development of our lead product candidates, GH001, GH002 and GH003, for the treatment of psychiatric or neurological disorders. Successful continued development and ultimate regulatory approval of GH001, GH002 and GH003 for our initial and any additional indications is critical to the future success of our business. We will need to raise sufficient funds for, and successfully enroll and complete, our clinical development programs of our GH001, GH002 and GH003 product candidates for the treatment of TRD and potentially other psychiatric and neurological disorders.</w:t>
      </w:r>
    </w:p>
    <w:p>
      <w:pPr>
        <w:spacing w:after="0" w:line="17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Before we can generate any revenue from sales of GH001, GH002, GH003 or any other approved product, we must undertake additional technical, nonclinical and clinical development, regulatory review and approval in one or more jurisdictions for the product candidates and the medical devices required to deliver these product candidates. To date, our clinical trials have been conducted exclusively in the Netherlands. We plan to pursue clinical trials in multiple European countries, Canada, and the United States for all of our clinical programs. We have not submitted Investigational New Drug applications, or INDs, or other comparable applications, for any of our product candidates, including the medical devices to deliver our product candidates, with the FDA, EMA, or other comparable foreign regulatory authorities, outside of the Netherlands. We do not expect that we need to submit separate Investigational Device Exemption applications, or IDEs, or other comparable applications, with the FDA, EMA or other comparable foreign regulatory authorities for the medical devices to deliver our product candidates, and we have not done so, though there can be no assurance that IDEs or comparable applications will not be necessary in the future. In addition, if one or more of our product candidates are approved, we must ensure access to sufficient commercial manufacturing capacity for the product candidates and the medical devices required to deliver these product candidates and conduct significant marketing efforts in connection with any commercial launch, as well as obtaining pricing and reimbursement authorizations in individual European and other countries. These efforts will require substantial investment, and we may not have the financial resources to continue development of our product candidates or commercialization of any products.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may experience setbacks that could delay or prevent regulatory approval of our product candidates, including the medical devices to deliver our product candidates or our ability to commercialize any products, including:</w:t>
      </w:r>
    </w:p>
    <w:p>
      <w:pPr>
        <w:spacing w:after="0" w:line="170" w:lineRule="exact"/>
        <w:rPr>
          <w:sz w:val="20"/>
          <w:szCs w:val="20"/>
          <w:color w:val="auto"/>
        </w:rPr>
      </w:pPr>
    </w:p>
    <w:p>
      <w:pPr>
        <w:ind w:left="660" w:right="3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or failure in establishing acceptable performance characteristics, quality manufacturing standards and manufacturing capabilities for our product candidates or for the medical devices required to deliver our product candidates;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or inconclusive results from our nonclinical studies or clinical trials or the clinical trials of others for product candidates similar to ours, leading to a decision or requirement to conduct additional nonclinical testing or clinical trials or abandon a program;</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or device-related side effects experienced by subjects in our clinical trials or by individuals using drugs or therapeutics similar to our product candidates;</w:t>
      </w:r>
    </w:p>
    <w:p>
      <w:pPr>
        <w:spacing w:after="0" w:line="170"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submitting INDs (or IDEs, if applicable) in the United States or comparable foreign applications or delays or failure in obtaining the necessary approvals from regulators or institutional review boards to commence a clinical trial, including Schedule I research protocols required by the DEA, or a suspension or termination of a clinical trial once commenced;</w:t>
      </w:r>
    </w:p>
    <w:p>
      <w:pPr>
        <w:spacing w:after="0" w:line="183"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FDA, EMA or other comparable foreign regulatory authorities do not find the earlier technical, nonclinical and clinical trial work sufficient, then we may need to conduct additional technical development work or nonclinical or clinical trials beyond what we currently have planned, before we can initiate further clinical studies. Any significant technical development, nonclinical or clinical trial delays also could shorten any periods during which we may have the exclusive right to commercialize our drug candidates and medical devices or allow our competitors to bring products to market before we do and impair our ability to successfully commercialize our drug candidates and medical devices and may harm our business and results of operations;</w:t>
      </w:r>
    </w:p>
    <w:p>
      <w:pPr>
        <w:spacing w:after="0" w:line="19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conditions imposed by the FDA, EMA or other comparable foreign regulatory authorities regarding the scope or design of our clinical trials;</w:t>
      </w:r>
    </w:p>
    <w:p>
      <w:pPr>
        <w:spacing w:after="0" w:line="236" w:lineRule="exact"/>
        <w:rPr>
          <w:rFonts w:ascii="Arial" w:cs="Arial" w:eastAsia="Arial" w:hAnsi="Arial"/>
          <w:sz w:val="17"/>
          <w:szCs w:val="17"/>
          <w:color w:val="auto"/>
        </w:rPr>
      </w:pPr>
    </w:p>
    <w:p>
      <w:pPr>
        <w:jc w:val="both"/>
        <w:ind w:left="660" w:right="320" w:hanging="328"/>
        <w:spacing w:after="0" w:line="31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FDA, EMA or other comparable foreign regulatory authorities may disagree with our clinical trial design, including with respect to dosing levels administered in our planned clinical trials, or the medical devices used to deliver our product candidates in the clinical trials, which may delay or prevent us from initiating our clinical trials with our originally intended trial design and the originally planned medical devices;</w:t>
      </w:r>
    </w:p>
    <w:p>
      <w:pPr>
        <w:spacing w:after="0" w:line="148" w:lineRule="exact"/>
        <w:rPr>
          <w:rFonts w:ascii="Arial" w:cs="Arial" w:eastAsia="Arial" w:hAnsi="Arial"/>
          <w:sz w:val="16"/>
          <w:szCs w:val="16"/>
          <w:color w:val="auto"/>
        </w:rPr>
      </w:pPr>
    </w:p>
    <w:p>
      <w:pPr>
        <w:ind w:left="660" w:right="80" w:hanging="328"/>
        <w:spacing w:after="0" w:line="286"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in contracting with clinical sites or enrolling subjects in clinical trials, including, due to the COVID-19 pandemic, the inability to identify clinical sites willing to host our clinical trials and the required scheduled drug DEA researcher registration and Schedule I research protocol in the United States and similar licenses in other jurisdictions to be obtained and maintained by our clinical investigators;</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interruptions in the supply of materials necessary for the conduct of our clinical trials;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or ethics committees may not authorize us or our investigators to commence a clinical trial or conduct a clinical trial at a prospective trial site;</w:t>
      </w:r>
    </w:p>
    <w:p>
      <w:pPr>
        <w:spacing w:after="0" w:line="170" w:lineRule="exact"/>
        <w:rPr>
          <w:rFonts w:ascii="Arial" w:cs="Arial" w:eastAsia="Arial" w:hAnsi="Arial"/>
          <w:sz w:val="18"/>
          <w:szCs w:val="18"/>
          <w:color w:val="auto"/>
        </w:rPr>
      </w:pPr>
    </w:p>
    <w:p>
      <w:pPr>
        <w:ind w:left="660" w:right="48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FDA, the EMA or other comparable foreign regulatory authorities may require us to submit additional data such as long-term toxicology studies or additional data for our product candidates or the medical devices required to deliver our product candidates;</w:t>
      </w:r>
    </w:p>
    <w:p>
      <w:pPr>
        <w:spacing w:after="0" w:line="146" w:lineRule="exact"/>
        <w:rPr>
          <w:rFonts w:ascii="Arial" w:cs="Arial" w:eastAsia="Arial" w:hAnsi="Arial"/>
          <w:sz w:val="17"/>
          <w:szCs w:val="17"/>
          <w:color w:val="auto"/>
        </w:rPr>
      </w:pPr>
    </w:p>
    <w:p>
      <w:pPr>
        <w:ind w:left="660" w:right="14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in reaching, or failure to reach, agreement on acceptable terms with prospective trial sites and prospective contract research organizations, or CROs, which can be subject to extensive negotiation and may vary significantly among different CROs and trial sites;</w:t>
      </w:r>
    </w:p>
    <w:p>
      <w:pPr>
        <w:spacing w:after="0" w:line="146"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of any product candidates may be larger than we anticipate, or subjects may drop out of these clinical trials or fail to return for post-treatment follow-up at a higher rate than we anticipate;</w:t>
      </w:r>
    </w:p>
    <w:p>
      <w:pPr>
        <w:spacing w:after="0" w:line="170" w:lineRule="exact"/>
        <w:rPr>
          <w:rFonts w:ascii="Arial" w:cs="Arial" w:eastAsia="Arial" w:hAnsi="Arial"/>
          <w:sz w:val="18"/>
          <w:szCs w:val="18"/>
          <w:color w:val="auto"/>
        </w:rPr>
      </w:pPr>
    </w:p>
    <w:p>
      <w:pPr>
        <w:jc w:val="both"/>
        <w:ind w:left="660" w:right="520" w:hanging="328"/>
        <w:spacing w:after="0" w:line="286"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third-party contractors for nonclinical studies or clinical trials may fail to comply with regulatory requirements or meet their contractual obligations to us in a timely manner, or at all, or may deviate from the clinical trial protocol or take actions that could cause clinical sites or clinical investigators to drop out of the trial, which may require that we add new clinical trial sites or investigators;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40" w:hanging="328"/>
        <w:spacing w:after="0" w:line="286"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due to the impact of the COVID-19 pandemic, we may experience some delays and interruptions to our technical development efforts, nonclinical studies and clinical trials, we may experience delays or interruptions to our manufacturing supply chain, or we could suffer delays in reaching, or we may fail to reach, agreement on acceptable terms with third-party service providers on whom we rely;</w:t>
      </w:r>
    </w:p>
    <w:p>
      <w:pPr>
        <w:spacing w:after="0" w:line="165" w:lineRule="exact"/>
        <w:rPr>
          <w:rFonts w:ascii="Arial" w:cs="Arial" w:eastAsia="Arial" w:hAnsi="Arial"/>
          <w:sz w:val="17"/>
          <w:szCs w:val="17"/>
          <w:color w:val="auto"/>
        </w:rPr>
      </w:pPr>
    </w:p>
    <w:p>
      <w:pPr>
        <w:ind w:left="660" w:right="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greater-than-anticipated clinical trial costs, including as a result of delays or interruptions that could increase the overall costs to finish our clinical trials as our fixed costs are not substantially reduced during delays;</w:t>
      </w:r>
    </w:p>
    <w:p>
      <w:pPr>
        <w:spacing w:after="0" w:line="170" w:lineRule="exact"/>
        <w:rPr>
          <w:rFonts w:ascii="Arial" w:cs="Arial" w:eastAsia="Arial" w:hAnsi="Arial"/>
          <w:sz w:val="18"/>
          <w:szCs w:val="18"/>
          <w:color w:val="auto"/>
        </w:rPr>
      </w:pPr>
    </w:p>
    <w:p>
      <w:pPr>
        <w:jc w:val="both"/>
        <w:ind w:left="660" w:right="20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elect to, or regulators, IRBs, Data Safety Monitoring Boards, or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183"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have the financial resources available to begin and complete the planned trials, or the cost of clinical trials of any product candidates may be greater than we anticipate;</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supply or quality of our product candidates, medical devices required to deliver our product candidates, or other materials necessary to conduct clinical trials of our product candidates may be insufficient or inadequate to initiate or complete a given clinical trial;</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compete with other therapies;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poor efficacy of our product candidates during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demonstrate an acceptable benefit/risk profile for our product candidates;</w:t>
      </w:r>
    </w:p>
    <w:p>
      <w:pPr>
        <w:spacing w:after="0" w:line="225" w:lineRule="exact"/>
        <w:rPr>
          <w:rFonts w:ascii="Arial" w:cs="Arial" w:eastAsia="Arial" w:hAnsi="Arial"/>
          <w:sz w:val="18"/>
          <w:szCs w:val="18"/>
          <w:color w:val="auto"/>
        </w:rPr>
      </w:pPr>
    </w:p>
    <w:p>
      <w:pPr>
        <w:ind w:left="660" w:right="52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inability to provide sufficient design, testing, manufacturing and quality information for the medical devices required to deliver our product candidates, including information to support their use and compatibility with the drug constituent of our product candidates;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unfavorable FDA, EMA or other comparable foreign regulatory authority inspection and review of clinical trial sites or manufacturing facilities;</w:t>
      </w:r>
    </w:p>
    <w:p>
      <w:pPr>
        <w:spacing w:after="0" w:line="236" w:lineRule="exact"/>
        <w:rPr>
          <w:rFonts w:ascii="Arial" w:cs="Arial" w:eastAsia="Arial" w:hAnsi="Arial"/>
          <w:sz w:val="17"/>
          <w:szCs w:val="17"/>
          <w:color w:val="auto"/>
        </w:rPr>
      </w:pPr>
    </w:p>
    <w:p>
      <w:pPr>
        <w:ind w:left="660" w:right="60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DEA, or any state or other jurisdiction, delays rescheduling or fails to reschedule 5-MeO-DMT to Schedule II, III, IV or V, or delays classifying or fails to classify our product candidates to Schedule II, III, IV or V;</w:t>
      </w:r>
    </w:p>
    <w:p>
      <w:pPr>
        <w:spacing w:after="0" w:line="170" w:lineRule="exact"/>
        <w:rPr>
          <w:rFonts w:ascii="Arial" w:cs="Arial" w:eastAsia="Arial" w:hAnsi="Arial"/>
          <w:sz w:val="18"/>
          <w:szCs w:val="18"/>
          <w:color w:val="auto"/>
        </w:rPr>
      </w:pPr>
    </w:p>
    <w:p>
      <w:pPr>
        <w:ind w:left="660" w:right="54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product labeling associated with any product approvals and any requirements for a Risk Evaluation and Mitigation Strategy, or REMS, that may be required by the FDA or comparable requirements in other jurisdictions to ensure the benefits of an individual product outweigh its risks;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acceptance of our product candidates or clinical trial data by the patient or medical communities or third-party payors;</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related to the impact or the spread of COVID-19 or other pandemics, including the impact of COVID-19 on the FDA’s, EMA’s or other comparable foreign regulatory authority’s ability to continue its normal operations;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varying interpretations of data by the FDA, EMA or other comparable foreign regulatory authorities.</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do not have complete control over many of these factors, including certain aspects of technical drug product and device development, clinical development and the regulatory submission process, potential threats to our intellectual property rights and our manufacturing, marketing, distribution and sales efforts or that of any future collaborator.</w:t>
      </w:r>
    </w:p>
    <w:p>
      <w:pPr>
        <w:spacing w:after="0" w:line="184"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GH001 is designed to deliver 5-MeO-DMT to the patient via inhalation of an aerosol into the lungs. This aerosol is defined by specific properties to be pharmaceutically acceptable, such as its purity, and to achieve efficient uptake of 5-MeO-DMT into the systemic circulation, such as its particle size distribution. The generation of this 5-MeO-DMT aerosol requires a drug product and a device with specific performance characteristics and properties and it is therefore anticipated that GH001 and the specific device will be considered a drug-device combination product by the FDA, EMA or other comparable foreign regulatory authorities. It is also anticipated that GH002 and GH003, together with their respective administration devices, will be regulated as drug-device combination products by the FDA, EMA or other comparable foreign regulatory authorities. Products that are considered to be drug-device combination products will require review and coordination by the drug and device centers within the FDA, EMA or other comparable foreign regulatory authorities prior to initiation of clinical trials and prior to marketing approval, which may delay such trials or marketing approval. Under FDA regulations, combination products are subject to current good manufacturing practice, or cGMP, requirements applicable to both drugs and medical devices, including the Quality System, or QS, and regulations applicable to medical devices. Combination products are also subject to the Medical Device Regulation 2017/745, or MDR, which requires coordination between the drug and the device regulatory laws and regulators. Problems associated with the drug product or device component of the combination product candidate may delay or prevent initiation of clinical trials or marketing approval. For example, in current and previous clinical trials, GH001 has been vaporized using a device we purchased on the market from a single third-party manufacturer, Storz &amp; Bickel, Tuttlingen. We do not have a commercial supply agreement with Storz &amp; Bickel, Tuttlingen. If the FDA, EMA or other comparable foreign regulatory authorities refuse to accept the use of this third-party device in our planned clinical trials then initiation of additional clinical trials could be significantly delayed or prevented. We also have not established licensing agreements with any alternative provider of a device which would be suitable to generate a pharmaceutically acceptable aerosol from GH001 and we have only recently started working with a contract development and manufacturing organization, or CDMO, to develop a proprietary delivery device for GH001. If we fail to develop, manufacture, license, or acquire a device which would be suitable to generate a pharmaceutically acceptable aerosol from GH001, which achieves sufficient uptake of 5-MeO-DMT into the systemic circulation, or if we fail to get sufficient supplies of the third-party manufactured device or any alternative device or if the device is unavailable to us for any reason then initiation of additional clinical trials or receipt of marketing approval could be significantly delayed or prevented. If the manufacturer of the third-party device makes modifications, or if we elect to change a device component, or license an alternative device component, we will need to perform validation testing and obtain FDA, EMA or other comparable foreign regulatory approval prior to using the modified or alternative device or device component. Similar testing and validation would be required for our development of any proprietary devices. If the FDA, EMA or other comparable foreign regulatory body fails to approve use of those modified or alternative medical devices or take significant enforcement action against the manufacturer, we would not be able to continue or initiate clinical trials, receive marketing approval or we may have to suspend marketing our products in certain jurisdictions.</w:t>
      </w:r>
    </w:p>
    <w:p>
      <w:pPr>
        <w:spacing w:after="0" w:line="171" w:lineRule="exact"/>
        <w:rPr>
          <w:sz w:val="20"/>
          <w:szCs w:val="20"/>
          <w:color w:val="auto"/>
        </w:rPr>
      </w:pPr>
    </w:p>
    <w:p>
      <w:pPr>
        <w:ind w:right="280" w:firstLine="324"/>
        <w:spacing w:after="0" w:line="290" w:lineRule="auto"/>
        <w:rPr>
          <w:sz w:val="20"/>
          <w:szCs w:val="20"/>
          <w:color w:val="auto"/>
        </w:rPr>
      </w:pPr>
      <w:r>
        <w:rPr>
          <w:rFonts w:ascii="Arial" w:cs="Arial" w:eastAsia="Arial" w:hAnsi="Arial"/>
          <w:sz w:val="16"/>
          <w:szCs w:val="16"/>
          <w:color w:val="auto"/>
        </w:rPr>
        <w:t>In addition, of the large number of drugs in development in the biopharmaceutical industry, only a small percentage result in the submission of a marketing application, such as a new drug application, or NDA, to the FDA, EMA or other comparable foreign regulatory authority, and even fewer are approved for commercialization. Furthermore, even if we do receive regulatory approval for GH001, GH002 or GH003, including the medical devices required for their administration, for any indication, any such approval may be subject to limitations on the indications or uses or patient populations for which we may market the product. Accordingly, even if we are able to obtain the requisite financing to continue to fund our development programs, we cannot assure that we will successfully develop or commercialize GH001, GH002 or GH003 including the medical devices required for their administration, for any indication. Our failure to demonstrate positive results in our clinical trials in any indication for which we are developing GH001, GH002 or GH003 could adversely affect our development efforts for GH001, GH002 and GH003 in other indications.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right="80"/>
        <w:spacing w:after="0" w:line="311" w:lineRule="auto"/>
        <w:rPr>
          <w:sz w:val="20"/>
          <w:szCs w:val="20"/>
          <w:color w:val="auto"/>
        </w:rPr>
      </w:pPr>
      <w:r>
        <w:rPr>
          <w:rFonts w:ascii="Arial" w:cs="Arial" w:eastAsia="Arial" w:hAnsi="Arial"/>
          <w:sz w:val="16"/>
          <w:szCs w:val="16"/>
          <w:b w:val="1"/>
          <w:bCs w:val="1"/>
          <w:i w:val="1"/>
          <w:iCs w:val="1"/>
          <w:color w:val="auto"/>
        </w:rPr>
        <w:t>Clinical development involves a lengthy, complex and expensive process, with an uncertain outcome. The outcome of nonclinical testing and early clinical trials may not be predictive of the success of later clinical trials, and the results of our clinical trials, which to date have only been conducted in the Netherlands, may not satisfy the requirements of the FDA, EMA or other comparable foreign regulatory authorities.</w:t>
      </w:r>
    </w:p>
    <w:p>
      <w:pPr>
        <w:spacing w:after="0" w:line="14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To obtain the requisite regulatory approvals to commercialize any product candidates and medical devices required for their administration, we must demonstrate through extensive nonclinical studies and clinical trials that our product candidates are safe and effective in humans. Clinical testing is expensive and can take many years to complete, and its outcome is inherently uncertain. In particular, in the United States where we hope to advance our product development efforts in the future, the general approach for FDA approval of a new drug is dispositive data from two well-controlled, Phase 3 clinical trials of the relevant drug in the relevant patient population, using the relevant device. Phase 3 clinical trials typically involve hundreds of patients, have significant costs and take years to complete. A product candidate can fail at any stage of testing, even after observing promising signs of activity in earlier nonclinical studies or clinical trials. The results of nonclinical studies and early clinical trials of our product candidates may not be predictive of the results of later-stage clinical trials. Clinical trials with smaller sample sizes can be disproportionately influenced by various biases associated with the conduct of small clinical trials, making the clinical trial results less reliable than clinical trials with a larger number of patients.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nonclinical studies and initial clinical trials. A number of companies in the biopharmaceutical industry have suffered significant setbacks in advanced clinical trials due to a lack of efficacy or emergence of unacceptable safety issues, notwithstanding promising results in earlier studies and trials. Also, a number of companies developing drug-device combination products, especially in the area of inhaled delivery of the drug component, have historically suffered significant setbacks due to technical, performance or manufacturing issues of the device component in their combination product. Most product candidates that commence clinical trials are never approved as products and there can be no assurance that any of our future clinical trials will ultimately be successful or support further clinical development of GH001, GH002, GH003 or any other product candidates. Product candidates that appear promising in the early phases of development may fail to reach the market for several reasons, including:</w:t>
      </w:r>
    </w:p>
    <w:p>
      <w:pPr>
        <w:spacing w:after="0" w:line="171" w:lineRule="exact"/>
        <w:rPr>
          <w:sz w:val="20"/>
          <w:szCs w:val="20"/>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nonclinical studies or clinical trials may show the product candidates to be ineffective or less effective than expected (e.g., a clinical trial could fail to meet its primary endpoint(s)) or to have unacceptable side effects or toxicities;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reflect similarly efficacious activity in subsequent clinical trials with larger patient populations;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use clinical endpoints that applicable regulatory authorities would consider clinically meaningful;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manufacturing issues or formulation issues with the product candidate or device that cannot be resolved;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manufacturing issues, formulation issues, pricing or reimbursement issues or other factors that make a product candidate or device uneconomical;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intellectual property and proprietary rights of others and their competing products and technologies that may prevent one of our product candidates from being commercialized.</w:t>
      </w:r>
    </w:p>
    <w:p>
      <w:pPr>
        <w:spacing w:after="0" w:line="170"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In particular, we have relied upon public nonclinical literature containing limited data thus far, our own nonclinical studies are not yet completed, and ongoing or future nonclinical studies or clinical trials may show that our product candidates have unacceptable side effects or toxicities.</w:t>
      </w:r>
    </w:p>
    <w:p>
      <w:pPr>
        <w:spacing w:after="0" w:line="146" w:lineRule="exact"/>
        <w:rPr>
          <w:sz w:val="20"/>
          <w:szCs w:val="20"/>
          <w:color w:val="auto"/>
        </w:rPr>
      </w:pPr>
    </w:p>
    <w:p>
      <w:pPr>
        <w:jc w:val="both"/>
        <w:ind w:right="520" w:firstLine="324"/>
        <w:spacing w:after="0" w:line="311" w:lineRule="auto"/>
        <w:rPr>
          <w:sz w:val="20"/>
          <w:szCs w:val="20"/>
          <w:color w:val="auto"/>
        </w:rPr>
      </w:pPr>
      <w:r>
        <w:rPr>
          <w:rFonts w:ascii="Arial" w:cs="Arial" w:eastAsia="Arial" w:hAnsi="Arial"/>
          <w:sz w:val="16"/>
          <w:szCs w:val="16"/>
          <w:color w:val="auto"/>
        </w:rPr>
        <w:t>We assess indications for intensity of psychoactive effect using a metric we devised, Peak Experience, or PE. We believe PE may correlate with clinical outcomes, but PE is a subjective metric and can be inherently difficult to evaluate. In addition, differences in trial design between early-stage clinical trials and later-stage clinical trials make it difficult to extrapolate the results of earlier clinical trials to later clinical trials.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Moreover, our completed initial Phase 1 clinical trial in healthy volunteers (GH001-HV-101) and our completed Phase 1/2 clinical trial in patients with TRD (GH001-TRD-102) are open-label studies, where both the patient and investigator know whether the patient is receiving the product candidate or either an existing approved drug or placebo. Most typically, open-label clinical trials test only the product candidate and sometimes do so at different dose levels. Open-label clinical trials are subject to various limitations that may exaggerate any therapeutic effect as patients in open-label clinical trials are aware when they are receiving treatment. For example, prior MDD studies have exhibited a high placebo effect. In addition, open-label clinical trials may be subject to an “investigator bias,” where those assessing and reviewing the psychological and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or active-controlled trials. Additionally, the trial design differences and placebo effects that may be possible in clinical research for the indications we are studying may make it difficult to extrapolate the results of earlier clinical trials to later clinical trials or to interpret the clinical data in any of our trials. Furthermore, even in a placebo-controlled or active-controlled trial, it is possible that patients and/or investigators will be able to discern if the administered dose is our product candidate or a placebo or the active control due to the psychoactive effects of 5-MeO-DMT. Therefore, placebo-controlled or active-controlled trials with our product candidates, such as our recently completed Phase 1 clinical trial in healthy volunteers (GH001-HV-103) may be subject to similar limitations as open-label trials. Finally, our clinical trials to date have been short in duration, and our results may not be predictive of long-term safety and efficacy.</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standards that the FDA, EMA and other comparable foreign regulatory authorities use when regulating us require judgment and can change, which makes it difficult to predict with certainty how they will be applied. Although we are initially focusing our efforts on development of small molecule drug products and the medical devices required for delivery of these products, we may pursue development of other products, e.g., biological products, each of which could make us subject to additional regulatory requirements. Any analysis we perform of data from technical development, nonclinical and clinical activities is subject to confirmation and interpretation by regulatory authorities, which could delay, limit or prevent initiation of clinical studies or regulatory approval. Our clinical trials have only been conducted in the Netherlands. The FDA’s acceptance of data from clinical trials outside of the United States is subject to certain conditions. If the FDA or other comparable foreign regulatory authorities do not accept earlier technical, nonclinical or clinical data, we may need to conduct additional technical development, nonclinical studies or clinical trials.</w:t>
      </w:r>
    </w:p>
    <w:p>
      <w:pPr>
        <w:spacing w:after="0" w:line="178"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may also encounter unexpected delays or increased costs due to new government regulations. Examples of such regulations include future legislation or administrative action, or changes in policy by the FDA, EMA or other comparable foreign regulatory authority during the period of product development and regulatory review. It is impossible to predict whether legislative changes will be enacted, or whether regulations, guidance or interpretations of the FDA, EMA or other comparable foreign regulatory authority will be changed, or what the impact of such changes, if any, may be. In particular, in the United States, where we plan to develop our candidates in the future, the FDA may also require a panel of experts, referred to as an Advisory Committee, to deliberate on the adequacy of the safety and efficacy data to support approval. The opinion of the Advisory Committee, although not binding on the FDA, may have a significant impact on our ability to obtain approval of any product candidates that we develop.</w:t>
      </w:r>
    </w:p>
    <w:p>
      <w:pPr>
        <w:spacing w:after="0" w:line="16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Successful completion of clinical trials is a prerequisite to submitting a marketing application to the FDA or other comparable foreign regulatory authorities, for each product candidate and any relevant device required to deliver such product candidate, and, consequently, the ultimate approval and commercial marketing of any product candidates and medical devices. We may experience negative or inconclusive results, or regulators may be unwilling to accept nonclinical or clinical data obtained in foreign jurisdictions, which may result in our deciding, or our being required by regulators, to conduct additional clinical studies or trials or abandon some or all of our product development programs, which would have a material adverse effect on our business.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180" w:right="280"/>
        <w:spacing w:after="0" w:line="259" w:lineRule="auto"/>
        <w:rPr>
          <w:sz w:val="20"/>
          <w:szCs w:val="20"/>
          <w:color w:val="auto"/>
        </w:rPr>
      </w:pPr>
      <w:r>
        <w:rPr>
          <w:rFonts w:ascii="Arial" w:cs="Arial" w:eastAsia="Arial" w:hAnsi="Arial"/>
          <w:sz w:val="18"/>
          <w:szCs w:val="18"/>
          <w:b w:val="1"/>
          <w:bCs w:val="1"/>
          <w:i w:val="1"/>
          <w:iCs w:val="1"/>
          <w:color w:val="auto"/>
        </w:rPr>
        <w:t>Even if we obtain regulatory approval with respect to GH001 for TRD, we may not be able to complete clinical development or obtain regulatory approval for additional indications, such as bipolar II disorder and postpartum depression, or we may be required to conduct trials in addition to those that we plan to conduct, which could limit our ability to realize the maximum market potential of GH001 or increase the costs of developing GH001 for TRD.</w:t>
      </w:r>
    </w:p>
    <w:p>
      <w:pPr>
        <w:spacing w:after="0" w:line="187"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Given GH001’s proposed mechanisms of resetting human brain functional connectivity, or FC, and serotonergic agonism, we believe that it represents a compelling therapeutic option for multiple psychiatric and neurological disorders other than TRD. Through collaborations with academic institutions and CROs we intend to explore the benefits of GH001 in additional psychiatric or neurological indications, the first of which are bipolar II disorder and postpartum depression. However, there can be no assurance that, even if we obtain approval for GH001 for our initial indication, for TRD, we will obtain approval for any other indication, including for bipolar II disorder and postpartum depression. The ability to obtain approval for each of these additional indications will require additional clinical development. If we fail to obtain and maintain required approvals for these additional or broadened indications, or if regulatory approvals are delayed, we will not realize the maximum market potential of GH001. Additionally, the FDA, EMA or other comparable foreign regulatory authorities may require us to conduct clinical trials, beyond those that we plan to conduct, and/or other tests, before seeking regulatory approval. For example, we believe that we can proceed to Phase 2a clinical trials in these other indications without first completing Phase 1 clinical trials based on our existing preclinical and clinical data for GH001. However, there can be no assurance that the FDA, EMA or other comparable foreign regulatory authorities will agree with such assessment. If we were required to conduct additional clinical trials and/or other tests, our costs for developing GH001 for TRD would be substantially higher and the timing of any regulatory approval, if any, would be substantially extended, which could adversely affect our results of operations.</w:t>
      </w:r>
    </w:p>
    <w:p>
      <w:pPr>
        <w:spacing w:after="0" w:line="186" w:lineRule="exact"/>
        <w:rPr>
          <w:sz w:val="20"/>
          <w:szCs w:val="20"/>
          <w:color w:val="auto"/>
        </w:rPr>
      </w:pPr>
    </w:p>
    <w:p>
      <w:pPr>
        <w:ind w:left="180" w:right="20"/>
        <w:spacing w:after="0" w:line="381" w:lineRule="auto"/>
        <w:rPr>
          <w:sz w:val="20"/>
          <w:szCs w:val="20"/>
          <w:color w:val="auto"/>
        </w:rPr>
      </w:pPr>
      <w:r>
        <w:rPr>
          <w:rFonts w:ascii="Arial" w:cs="Arial" w:eastAsia="Arial" w:hAnsi="Arial"/>
          <w:sz w:val="15"/>
          <w:szCs w:val="15"/>
          <w:b w:val="1"/>
          <w:bCs w:val="1"/>
          <w:i w:val="1"/>
          <w:iCs w:val="1"/>
          <w:color w:val="auto"/>
        </w:rPr>
        <w:t>Our product candidates or use of our product candidates through participation in our clinical trials, may cause undesirable side effects or have other properties that could delay or prevent their regulatory approval, limit their commercial potential or result in significant negative consequences.</w:t>
      </w:r>
    </w:p>
    <w:p>
      <w:pPr>
        <w:spacing w:after="0" w:line="10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Undesirable side effects that could potentially be caused by GH001, GH002, GH003 or any future product candidate, such as hypertension, tachycardia, nausea, sensory disturbance, headache or flashbacks, referred to as the re-experiencing of some of the effects induced by 5-MeO-DMT intake at some point after the drug’s acute effects have worn off, could cause us or regulatory authorities to not initiate, interrupt, delay or halt clinical trials and could result in more restrictive labeling than anticipated, a requirement that we implement a REMS to ensure that the benefits outweigh the risks or the delay or denial of regulatory approval by the FDA, EMA or comparable foreign regulatory authorities. Results of our clinical trials could reveal a high and unacceptable severity and prevalence of side effects or unexpected characteristics, even death. There can be no assurance that serious side effects, including deaths, will not occur even in the controlled setting of a clinical trial. In addition, many compounds that have initially shown promise in clinical or earlier stage testing are later found to cause undesirable or unexpected side effects that prevented further development of the compound. Additionally, the composition of our product candidates or learnings in nonclinical studies or clinical trials may result in contraindications or warnings, including Boxed Warnings, for any product candidates for which we may obtain regulatory approval.</w:t>
      </w:r>
    </w:p>
    <w:p>
      <w:pPr>
        <w:spacing w:after="0" w:line="18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If unacceptable side effects arise in the development of our product candidates, foreign regulatory authorities, or, in the future, the FDA, EMA, the IRBs, DSMBs or independent ethics committees at the institutions in which our trials are conducted could refuse to allow us to initiate, or may suspend or terminate our nonclinical studies or clinical trials, or the FDA, EMA or other comparable foreign regulatory authorities could order us to cease nonclinical studies or clinical trials or deny approval of our product candidates for any or all targeted indications.</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Treatment-emergent side effects that are deemed to be drug-related could also affect subject recruitment or the ability of enrolled subjects to complete the trial or result in potential product liability claims. Undesirable side effects in one of our clinical trials for our product candidates in one indication could adversely affect enrollment in clinical trials, regulatory approval and commercialization of our product candidates in other indications. In addition, these side effects may not be appropriately recognized or managed by the treating medical staff. Any of these occurrences may harm our business, financial condition and prospects significantly.</w:t>
      </w:r>
    </w:p>
    <w:p>
      <w:pPr>
        <w:spacing w:after="0" w:line="18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Moreover, clinical trials of our product candidates are conducted in carefully defined sets of healthy volunteers and patients who have agreed to be enrolled in clinical trials. Consequently, it is possible that our clinical trials, or those of any future collaborator, may fail to identify undesirable side effects. Clinical trials by their nature utilize a sample of the potential patient population. With a limited number of patients, rare and severe side effects of our product candidates may only be uncovered with a significantly larger number of patients’ use of the product candidate. If our product candidates, including the medical devices to deliver such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16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 or medical devices;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contraindications;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or change the labeling of the product candidates or medical devices;</w:t>
      </w:r>
    </w:p>
    <w:p>
      <w:pPr>
        <w:spacing w:after="0" w:line="170"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may require a REMS to mitigate risks, which could include medication guides, physician communication plans or elements to assure safe use, such as restricted distribution methods, patient registries and other risk minimization tools, and regulatory authorities in other jurisdictions may require comparable risk mitigation plans;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EMA or a comparable foreign regulatory authority may require us to conduct additional technical development work or clinical trials or costly post-marketing testing and surveillance to establish and monitor the safety and efficacy of the product;</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or operating our medical devices;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addition, patients who participate in our trials may take antidepressants or other medications to treat depression and/or mood disorders, or other medications that may interact with our product candidates, and participation in our clinical trials requires patients to suspend any such existing medication or treatment for the duration of the trial. If a patient chooses to resume his or her existing medications, there is no guarantee such medications will produce the same therapeutic effect, if any, as may have been experienced prior to suspending such medication. Further, the impact of cycling off and/or back on to existing medications could have undesirable side effects or lead to severe mental health trauma. Any such negative reactions of a patient participating in one of our clinical trials may decrease the willingness of patients to participate in our trials, affect the timing or outcome of our clinical trials, product candidate development and approval process, or create negative public perception around our product candidates, which in turn may significantly impact our ability to successfully commercialize our product candidates.</w:t>
      </w:r>
    </w:p>
    <w:p>
      <w:pPr>
        <w:spacing w:after="0" w:line="17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candidates, could negatively impact the perception of our other product candidates, could substantially increase the costs of commercializing our product candidates, if approved, and significantly impact our ability to successfully commercialize our product candidates and generate revenues.</w:t>
      </w:r>
    </w:p>
    <w:p>
      <w:pPr>
        <w:spacing w:after="0" w:line="184" w:lineRule="exact"/>
        <w:rPr>
          <w:sz w:val="20"/>
          <w:szCs w:val="20"/>
          <w:color w:val="auto"/>
        </w:rPr>
      </w:pPr>
    </w:p>
    <w:p>
      <w:pPr>
        <w:ind w:left="180" w:right="60"/>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future clinical trials, our clinical development activities could be delayed or otherwise adversely affected.</w:t>
      </w:r>
    </w:p>
    <w:p>
      <w:pPr>
        <w:spacing w:after="0" w:line="170"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Patient enrollment is affected by many factors, including:</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clinical trials focused on rare disease, the small size of the patient population and the potential of a patient being undiagnosed or misdiagnosed;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competing clinical trials and clinicians’ and patients’ perceptions as to the potential advantages and risks of the product candidate being studied in relation to other available therapies, including any new drugs that may be approved for the indications that we are investigating;</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reluctance of physicians to encourage patient participation in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impacts of the COVID-19 pandemic on clinical trial sites, personnel and patient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including product candidates studying N-methyl-D-aspartate antagonists, neurosteroids, and 5-MeO-DMT and other serotonergic psychedelics such psilocybin and N,N-Dimethyltryptamine.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178"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Our inability to enroll a sufficient number of patients for our clinical trials would result in significant delays or might require us to abandon one or more clinical trials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the value of our company to decline and limit our ability to obtain additional financing if needed.</w:t>
      </w:r>
    </w:p>
    <w:p>
      <w:pPr>
        <w:spacing w:after="0" w:line="176"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We are also required to register certain clinical trials and post the results of certain completed clinical trials on a government-sponsored database, such as www.ClinicalTrials.gov in the United States and a similar system in the European Union, within certain timeframes. Failure to do so can result in fines, adverse publicity and civil and criminal sanctions.</w:t>
      </w:r>
    </w:p>
    <w:p>
      <w:pPr>
        <w:spacing w:after="0" w:line="184" w:lineRule="exact"/>
        <w:rPr>
          <w:sz w:val="20"/>
          <w:szCs w:val="20"/>
          <w:color w:val="auto"/>
        </w:rPr>
      </w:pPr>
    </w:p>
    <w:p>
      <w:pPr>
        <w:ind w:left="180" w:right="50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data become available, and are subject to audit and verification procedures that could result in material changes in the final results.</w:t>
      </w:r>
    </w:p>
    <w:p>
      <w:pPr>
        <w:spacing w:after="0" w:line="124"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including the data we have disclosed for our current clinical trials. Preliminary data are based on an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preliminary or topline results that we report may differ from future results of the same studies, or different conclusions or considerations may qualify such results, once additional data have been received and fully evaluated. This difference may be more pronounced because of the small sample size and short duration of our clinical trials. Preliminary or topline data also remain subject to audit and verification procedures that may result in the final data being materially different from the preliminary data we previously reported. We may also conduct planned interim analyses as part of our clinical trials before they are complete. Planned interim analyses from clinical trials that we may complete are subject to the risk that one or more of the clinical outcomes may materially change as patient enrollment continues and more patient data become available. As a result, interim analyses, as well as preliminary or topline data should be viewed with caution until the final data are available. In addition, we may report interim, preliminary or topline data of only certain endpoints rather than all endpoints. Adverse changes between interim, preliminary or topline data and final data could significantly harm our business and prospects. Additional disclosure of interim, preliminary or topline data by us or by our competitors could result in volatility in the price of our ordinary shares.</w:t>
      </w:r>
    </w:p>
    <w:p>
      <w:pPr>
        <w:spacing w:after="0" w:line="184"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ability to initiate further clinical studies, the approvability or commercialization of the particular product candidate and our company in general.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preliminary or topline data that we report differ from late, final or actual results, or if others, including the FDA, EMA or other comparable foreign regulatory authorities, disagree with the conclusions reached, our ability to initiate further clinical studies or obtain approval for, and commercialize our product candidates may be harmed, which could harm our business, financial condition, results of operations and prospects.</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right="120"/>
        <w:spacing w:after="0" w:line="277" w:lineRule="auto"/>
        <w:rPr>
          <w:sz w:val="20"/>
          <w:szCs w:val="20"/>
          <w:color w:val="auto"/>
        </w:rPr>
      </w:pPr>
      <w:r>
        <w:rPr>
          <w:rFonts w:ascii="Arial" w:cs="Arial" w:eastAsia="Arial" w:hAnsi="Arial"/>
          <w:sz w:val="18"/>
          <w:szCs w:val="18"/>
          <w:b w:val="1"/>
          <w:bCs w:val="1"/>
          <w:i w:val="1"/>
          <w:iCs w:val="1"/>
          <w:color w:val="auto"/>
        </w:rPr>
        <w:t>The markets for GH001, GH002, GH003 and any potential additional product candidates that we are developing or we may develop, for TRD or for any additional indications, may be smaller than we expect.</w:t>
      </w:r>
    </w:p>
    <w:p>
      <w:pPr>
        <w:spacing w:after="0" w:line="17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Our estimates of the potential market opportunity for GH001, GH002, GH003 and any potential additional product candidates that we are developing or we may develop, for TRD or for any additional indications, include several key assumptions based on our industry knowledge, industry publications and third-party research reports. There can be no assurance that any of these assumptions are, or will remain, accurate. If the actual market for GH001, GH002, GH003 and any potential additional product candidates that we are developing or we may develop, for TRD or for any additional indications, is smaller than we expect, our revenue, if any, may be limited and it may be more difficult for us to achieve or maintain profitability.</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in the future.</w:t>
      </w:r>
    </w:p>
    <w:p>
      <w:pPr>
        <w:spacing w:after="0" w:line="225"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Our research programs may initially show promise in identifying potential product candidates, yet fail to yield product candidates for clinical development or commercialization for a number of reasons, including:</w:t>
      </w:r>
    </w:p>
    <w:p>
      <w:pPr>
        <w:spacing w:after="0" w:line="1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design such product candidates with the pharmacological or pharmacokinetic properties that we desire; or</w:t>
      </w:r>
    </w:p>
    <w:p>
      <w:pPr>
        <w:spacing w:after="0" w:line="225"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170"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Research programs to identify new product candidates require substantial technical, financial and human resources. If we are unable to identify suitable compounds for nonclinical and clinical development, we will not be able to obtain product revenue in future periods, which likely would result in significant harm to our financial position and adversely impact the market price of our publicly traded ordinary shares.</w:t>
      </w:r>
    </w:p>
    <w:p>
      <w:pPr>
        <w:spacing w:after="0" w:line="165" w:lineRule="exact"/>
        <w:rPr>
          <w:sz w:val="20"/>
          <w:szCs w:val="20"/>
          <w:color w:val="auto"/>
        </w:rPr>
      </w:pPr>
    </w:p>
    <w:p>
      <w:pPr>
        <w:ind w:left="180" w:right="340"/>
        <w:spacing w:after="0" w:line="308" w:lineRule="auto"/>
        <w:rPr>
          <w:sz w:val="20"/>
          <w:szCs w:val="20"/>
          <w:color w:val="auto"/>
        </w:rPr>
      </w:pPr>
      <w:r>
        <w:rPr>
          <w:rFonts w:ascii="Arial" w:cs="Arial" w:eastAsia="Arial" w:hAnsi="Arial"/>
          <w:sz w:val="17"/>
          <w:szCs w:val="17"/>
          <w:b w:val="1"/>
          <w:bCs w:val="1"/>
          <w:i w:val="1"/>
          <w:iCs w:val="1"/>
          <w:color w:val="auto"/>
        </w:rPr>
        <w:t>We may conduct clinical trials for our product candidates in the United States, Europe or other jurisdictions, and the FDA, EMA and applicable foreign regulatory authorities may not accept data from trials conducted outside those respective jurisdictions.</w:t>
      </w:r>
    </w:p>
    <w:p>
      <w:pPr>
        <w:spacing w:after="0" w:line="14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may choose to conduct one or more of our clinical trials in the United States, Europe or in other foreign jurisdictions outside of the Netherlands where our trials currently are being conducted for GH001. The acceptance of study data from nonclinical studies and clinical trials conducted outside those jurisdictions may be subject to certain conditions for acceptance. For example,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and (ii) the trials were performed by clinical investigators of recognized competence and pursuant to Good Clinical Practices, or GCP, regulations. Additionally, the FDA’s clinical trial requirements, including sufficient size of patient populations and statistical powering, must be met. Many foreign regulatory bodies, such as the EMA,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 United States or the applicable jurisdiction. The FDA may not accept our data given the limited sample size in our completed and existing trials.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168" w:lineRule="exact"/>
        <w:rPr>
          <w:sz w:val="20"/>
          <w:szCs w:val="20"/>
          <w:color w:val="auto"/>
        </w:rPr>
      </w:pPr>
    </w:p>
    <w:p>
      <w:pPr>
        <w:ind w:left="180" w:right="560"/>
        <w:spacing w:after="0" w:line="381" w:lineRule="auto"/>
        <w:rPr>
          <w:sz w:val="20"/>
          <w:szCs w:val="20"/>
          <w:color w:val="auto"/>
        </w:rPr>
      </w:pPr>
      <w:r>
        <w:rPr>
          <w:rFonts w:ascii="Arial" w:cs="Arial" w:eastAsia="Arial" w:hAnsi="Arial"/>
          <w:sz w:val="15"/>
          <w:szCs w:val="15"/>
          <w:b w:val="1"/>
          <w:bCs w:val="1"/>
          <w:i w:val="1"/>
          <w:iCs w:val="1"/>
          <w:color w:val="auto"/>
        </w:rPr>
        <w:t>A Breakthrough Therapy Designation by the FDA, even if granted for any of our product candidates, may not lead to a faster development or regulatory review or approval process, and does not increase the likelihood that our product candidates will receive marketing approval.</w:t>
      </w:r>
    </w:p>
    <w:p>
      <w:pPr>
        <w:spacing w:after="0" w:line="10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do not currently have a Breakthrough Therapy Designation for any of our product candidates, but we may seek a Breakthrough Therapy Designation for any product candidate that we plan to develop in the United States if we believe the qualifying criteria for such a designation can be met.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FDA has discretion to determine whether the criteria for a Breakthrough Therapy has been met and whether to grant a Breakthrough Therapy Designation to a product candidate.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after granting Breakthrough Therapy Designation to our product candidates, the FDA may later decide that the drugs no longer meet the conditions for qualification and withdraw the designation.</w:t>
      </w:r>
    </w:p>
    <w:p>
      <w:pPr>
        <w:spacing w:after="0" w:line="164" w:lineRule="exact"/>
        <w:rPr>
          <w:sz w:val="20"/>
          <w:szCs w:val="20"/>
          <w:color w:val="auto"/>
        </w:rPr>
      </w:pPr>
    </w:p>
    <w:p>
      <w:pPr>
        <w:ind w:left="180" w:right="160"/>
        <w:spacing w:after="0" w:line="263" w:lineRule="auto"/>
        <w:rPr>
          <w:sz w:val="20"/>
          <w:szCs w:val="20"/>
          <w:color w:val="auto"/>
        </w:rPr>
      </w:pPr>
      <w:r>
        <w:rPr>
          <w:rFonts w:ascii="Arial" w:cs="Arial" w:eastAsia="Arial" w:hAnsi="Arial"/>
          <w:sz w:val="18"/>
          <w:szCs w:val="18"/>
          <w:b w:val="1"/>
          <w:bCs w:val="1"/>
          <w:i w:val="1"/>
          <w:iCs w:val="1"/>
          <w:color w:val="auto"/>
        </w:rPr>
        <w:t>A Fast Track Designation by the FDA (or its equivalent in the European Union, an accelerated assessment), even if granted for any of our product candidates, may not lead to a faster development or regulatory review or approval process and does not increase the likelihood that our product candidates will receive marketing approval.</w:t>
      </w:r>
    </w:p>
    <w:p>
      <w:pPr>
        <w:spacing w:after="0" w:line="184"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do not currently have Fast Track Designation or acceptance of an accelerated assessment in the EU for any of our product candidates, but we may seek such a designation for the product candidates we plan to develop in the United States and the European Union, if we believe the qualifying criteria for such a designation/ assessment have been met. If a product is intended for the treatment of a serious or life-threatening condition and nonclinical or clinical data demonstrate the potential to address an unmet medical need for this condition, the product sponsor may apply for Fast Track Designation or accelerated assessment. The FDA and the EMA each have broad discretion whether or not to grant this designation, so even if we believe a particular product candidate is eligible for this designation/assessment, we cannot assure that the FDA or EMA would decide to grant it. Even if we do receive Fast Track Designation and or an accelerated assessment, we may not experience a faster development process, review or approval compared to conventional FDA or EMA procedures. The FDA or EMA may withdraw the Fast Track Designation or accelerated assessment, respectively, if either agency believes that the designation or pathway is no longer supported by data from our clinical development program. Many drugs that have received Fast Track Designation and/or accelerated assessment have failed to obtain regulatory approval.</w:t>
      </w:r>
    </w:p>
    <w:p>
      <w:pPr>
        <w:spacing w:after="0" w:line="168" w:lineRule="exact"/>
        <w:rPr>
          <w:sz w:val="20"/>
          <w:szCs w:val="20"/>
          <w:color w:val="auto"/>
        </w:rPr>
      </w:pPr>
    </w:p>
    <w:p>
      <w:pPr>
        <w:jc w:val="both"/>
        <w:ind w:left="180" w:right="220"/>
        <w:spacing w:after="0" w:line="263" w:lineRule="auto"/>
        <w:rPr>
          <w:sz w:val="20"/>
          <w:szCs w:val="20"/>
          <w:color w:val="auto"/>
        </w:rPr>
      </w:pPr>
      <w:r>
        <w:rPr>
          <w:rFonts w:ascii="Arial" w:cs="Arial" w:eastAsia="Arial" w:hAnsi="Arial"/>
          <w:sz w:val="18"/>
          <w:szCs w:val="18"/>
          <w:b w:val="1"/>
          <w:bCs w:val="1"/>
          <w:i w:val="1"/>
          <w:iCs w:val="1"/>
          <w:color w:val="auto"/>
        </w:rPr>
        <w:t>We may seek orphan drug designation for one or more of our product candidates in the United States, but we may be unable to obtain or maintain such a designation or the benefits associated with orphan drug status, including marketing exclusivity, which may cause our revenue, if any, to be reduced.</w:t>
      </w:r>
    </w:p>
    <w:p>
      <w:pPr>
        <w:spacing w:after="0" w:line="184"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Because we are considering developing GH001, GH002 and/or GH003 for indications we believe to be rare, we may elect to pursue orphan designations for our candidates as applicable in the jurisdictions where development activities are planned.</w:t>
      </w:r>
    </w:p>
    <w:p>
      <w:pPr>
        <w:spacing w:after="0" w:line="170"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In the United States, 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Orphan drug designation must be requested and granted by the FDA before a new NDA is submitted. In the United States, orphan drug designation entitles a party to financial incentives such as tax advantages, and user-fee waivers. After the FDA grants orphan drug designation, it will disclose publicly the generic identity of the drug and its potential orphan use. Orphan drug designation does not convey any advantage in, or shorten the duration of, the regulatory review and approval process. Such a designation may also be revoked by the FDA in certain circumstances, such as if the agency finds that the applicant’s request for designation request omitted material information required under the Orphan Drug Act and its implementing regulations.</w:t>
      </w:r>
    </w:p>
    <w:p>
      <w:pPr>
        <w:spacing w:after="0" w:line="18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If a product that has orphan drug designation subsequently receives the first FDA approval for a particular active ingredient for the disease for which it has such designation, the product is entitled to orphan product exclusivity. This means that the FDA may not approve any other marketing applications for the same drug and the same indication for seven years, except in limited circumstances such as a showing of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Furthermore, the FDA can waive orphan exclusivity if the applicant is unable to manufacture sufficient supply of the product subject to a period of orphan drug marketing exclusivity.</w:t>
      </w: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right="300"/>
        <w:spacing w:after="0" w:line="263" w:lineRule="auto"/>
        <w:rPr>
          <w:sz w:val="20"/>
          <w:szCs w:val="20"/>
          <w:color w:val="auto"/>
        </w:rPr>
      </w:pPr>
      <w:r>
        <w:rPr>
          <w:rFonts w:ascii="Arial" w:cs="Arial" w:eastAsia="Arial" w:hAnsi="Arial"/>
          <w:sz w:val="18"/>
          <w:szCs w:val="18"/>
          <w:b w:val="1"/>
          <w:bCs w:val="1"/>
          <w:i w:val="1"/>
          <w:iCs w:val="1"/>
          <w:color w:val="auto"/>
        </w:rPr>
        <w:t>We may seek orphan drug designation for one or more of our product candidates in the European Union, but we may be unable to obtain or maintain such a designation or the benefits associated with orphan drug status, including marketing exclusivity, which may cause our revenue, if any, to be reduced.</w:t>
      </w:r>
    </w:p>
    <w:p>
      <w:pPr>
        <w:spacing w:after="0" w:line="184" w:lineRule="exact"/>
        <w:rPr>
          <w:sz w:val="20"/>
          <w:szCs w:val="20"/>
          <w:color w:val="auto"/>
        </w:rPr>
      </w:pPr>
    </w:p>
    <w:p>
      <w:pPr>
        <w:jc w:val="both"/>
        <w:ind w:right="120" w:firstLine="324"/>
        <w:spacing w:after="0" w:line="257" w:lineRule="auto"/>
        <w:rPr>
          <w:sz w:val="20"/>
          <w:szCs w:val="20"/>
          <w:color w:val="auto"/>
        </w:rPr>
      </w:pPr>
      <w:r>
        <w:rPr>
          <w:rFonts w:ascii="Arial" w:cs="Arial" w:eastAsia="Arial" w:hAnsi="Arial"/>
          <w:sz w:val="18"/>
          <w:szCs w:val="18"/>
          <w:color w:val="auto"/>
        </w:rPr>
        <w:t>In the European Union, orphan designation might be granted by the EMA for a medicine that (i) is intended for the treatment, prevention or diagnosis of a disease that is life-threatening or chronically debilitating; (ii) with a prevalence in the European Union of not more than five in 10 thousand or it must be unlikely that marketing of the medicine would generate sufficient returns to justify the investment needed for its development; and (iii) no satisfactory method of diagnosis, prevention or treatment of the condition concerned can be authorized, or, if such a method exists, the medicine must be of significant benefit to those affected by the condition.</w:t>
      </w:r>
    </w:p>
    <w:p>
      <w:pPr>
        <w:spacing w:after="0" w:line="188"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In the European Union, orphan designation does not convey any advantage in, or shorten the duration of, the regulatory review and approval process. The benefit of orphan designation in the European Union is scientific advice, and extended market exclusivity, or an additional two years on top of the eight years of market exclusivity for an innovative product. Such a designation may also be revoked by the EMA in certain circumstances, such as if the criteria are no longer met, which might for example occur by a competitor product becoming available in the market. Our inability to obtain or maintain such a designation or the benefits associated with orphan drug status, which could adversely affect our ability to achieve or sustain profitability.</w:t>
      </w:r>
    </w:p>
    <w:p>
      <w:pPr>
        <w:spacing w:after="0" w:line="161" w:lineRule="exact"/>
        <w:rPr>
          <w:sz w:val="20"/>
          <w:szCs w:val="20"/>
          <w:color w:val="auto"/>
        </w:rPr>
      </w:pPr>
    </w:p>
    <w:p>
      <w:pPr>
        <w:ind w:left="180" w:right="100"/>
        <w:spacing w:after="0" w:line="263"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and medical devices required to deliver such product candidates in one jurisdiction does not mean that we will be successful in obtaining or maintaining regulatory approval of our product candidates and medical devices required to deliver such product candidates in other jurisdictions.</w:t>
      </w:r>
    </w:p>
    <w:p>
      <w:pPr>
        <w:spacing w:after="0" w:line="184"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Obtaining and maintaining regulatory approval of our product candidates and medical devices required to deliver such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approval of a product candidate and device required to deliver such product candidate, comparable regulatory authorities in other jurisdictions, including Europe, must also approve the manufacturing, marketing and sale of the product candidate and device required to deliver such product candidate in those countries.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and device must also be approved for reimbursement before it can be approved for sale in that jurisdiction. In some cases, the price that we intend to charge for our products is also subject to governmental approval.</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87" w:lineRule="exact"/>
        <w:rPr>
          <w:sz w:val="20"/>
          <w:szCs w:val="20"/>
          <w:color w:val="auto"/>
        </w:rPr>
      </w:pPr>
    </w:p>
    <w:p>
      <w:pPr>
        <w:ind w:left="180" w:right="340"/>
        <w:spacing w:after="0" w:line="263" w:lineRule="auto"/>
        <w:rPr>
          <w:sz w:val="20"/>
          <w:szCs w:val="20"/>
          <w:color w:val="auto"/>
        </w:rPr>
      </w:pPr>
      <w:r>
        <w:rPr>
          <w:rFonts w:ascii="Arial" w:cs="Arial" w:eastAsia="Arial" w:hAnsi="Arial"/>
          <w:sz w:val="18"/>
          <w:szCs w:val="18"/>
          <w:b w:val="1"/>
          <w:bCs w:val="1"/>
          <w:i w:val="1"/>
          <w:iCs w:val="1"/>
          <w:color w:val="auto"/>
        </w:rPr>
        <w:t>Even if we, or any future collaborators, obtain regulatory approvals for our product candidates and medical devices to deliver such product candidates, the terms of approvals and ongoing regulation of our products may limit how we manufacture and market our products, which could impair our ability to generate revenue.</w:t>
      </w:r>
    </w:p>
    <w:p>
      <w:pPr>
        <w:spacing w:after="0" w:line="18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Once regulatory approval has been granted, an approved product and its manufacturer and marketer are subject to ongoing review and extensive regulation. We, and any future collaborators, must therefore comply with requirements concerning advertising and promotion for any of our product candidates for which we or they obtain regulatory approval. Promotional communications with respect to prescription drugs are subject to a variety of legal and regulatory restrictions and must be consistent with the information in the product’s approved labeling. Thus, we and any future collaborators will not be able to promote any products we develop for indications or uses for which they are not approved.</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regulatory requirements, including under FDA authorities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any future collaborators and their contract manufacturers could be subject to periodic unannounced inspections by regulatory authorities to monitor and ensure compliance with cGMPs. Despite our efforts to inspect and verify regulatory compliance, one or more of our third-party manufacturing vendors may be found on regulatory inspection to be not in compliance with cGMP requirements, which may result in shutdown of the third-party vendor or invalidation of drug product lots or processes. In some cases, a product recall may be warranted or required, which would materially affect our ability to supply and market our drug products.</w:t>
      </w:r>
    </w:p>
    <w:p>
      <w:pPr>
        <w:spacing w:after="0" w:line="178" w:lineRule="exact"/>
        <w:rPr>
          <w:sz w:val="20"/>
          <w:szCs w:val="20"/>
          <w:color w:val="auto"/>
        </w:rPr>
      </w:pPr>
    </w:p>
    <w:p>
      <w:pPr>
        <w:jc w:val="both"/>
        <w:ind w:right="400" w:firstLine="324"/>
        <w:spacing w:after="0" w:line="263" w:lineRule="auto"/>
        <w:rPr>
          <w:sz w:val="20"/>
          <w:szCs w:val="20"/>
          <w:color w:val="auto"/>
        </w:rPr>
      </w:pPr>
      <w:r>
        <w:rPr>
          <w:rFonts w:ascii="Arial" w:cs="Arial" w:eastAsia="Arial" w:hAnsi="Arial"/>
          <w:sz w:val="18"/>
          <w:szCs w:val="18"/>
          <w:color w:val="auto"/>
        </w:rPr>
        <w:t>Accordingly, assuming we, or any future collaborators, receive regulatory approval for one or more of our product candidates, we, and any future collaborators, and our and their contract manufacturers will continue to expend time, money and effort in all areas of regulatory compliance, including manufacturing, production, product surveillance and quality control.</w:t>
      </w:r>
    </w:p>
    <w:p>
      <w:pPr>
        <w:spacing w:after="0" w:line="18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If we, or any future collaborators, are not able to comply with post-approval regulatory requirements, we, or any future collaborators, could have the regulatory approvals for our products withdrawn by regulatory authorities and our, or any future collaborators’,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87" w:lineRule="exact"/>
        <w:rPr>
          <w:sz w:val="20"/>
          <w:szCs w:val="20"/>
          <w:color w:val="auto"/>
        </w:rPr>
      </w:pPr>
    </w:p>
    <w:p>
      <w:pPr>
        <w:ind w:left="180" w:right="120"/>
        <w:spacing w:after="0" w:line="311" w:lineRule="auto"/>
        <w:rPr>
          <w:sz w:val="20"/>
          <w:szCs w:val="20"/>
          <w:color w:val="auto"/>
        </w:rPr>
      </w:pPr>
      <w:r>
        <w:rPr>
          <w:rFonts w:ascii="Arial" w:cs="Arial" w:eastAsia="Arial" w:hAnsi="Arial"/>
          <w:sz w:val="16"/>
          <w:szCs w:val="16"/>
          <w:b w:val="1"/>
          <w:bCs w:val="1"/>
          <w:i w:val="1"/>
          <w:iCs w:val="1"/>
          <w:color w:val="auto"/>
        </w:rPr>
        <w:t>Changes in regulatory requirements or regulatory guidance or unanticipated events during our nonclinical studies and clinical trials of our product candidates may occur, which may result in changes to nonclinical studies and clinical trial protocols or the need for additional nonclinical studies and clinical trials, which could result in increased costs to us and could delay our development timelines.</w:t>
      </w:r>
    </w:p>
    <w:p>
      <w:pPr>
        <w:spacing w:after="0" w:line="149"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Changes in regulatory requirements or regulatory guidance or unanticipated events during our nonclinical studies and clinical trials may force us to amend nonclinical studies and clinical trial protocols or the applicable regulatory authority may impose additional nonclinical studies and clinical trial requirements. Amendments or changes to our clinical trial protocols would generally require resubmission to the applicable regulatory authority and IRBs for review and approval, which may adversely impact the cost, timing or successful completion of clinical trials. These decisions may increase costs, and cause us not to meet expected timelines and, correspondingly, our business and financial prospects could be adversely affected.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development pathway, and ultimately the commercial prospects, for our product candidates may be harmed and our ability to generate product revenue from resulting products, if any, will be delayed.</w:t>
      </w:r>
    </w:p>
    <w:p>
      <w:pPr>
        <w:spacing w:after="0" w:line="181" w:lineRule="exact"/>
        <w:rPr>
          <w:sz w:val="20"/>
          <w:szCs w:val="20"/>
          <w:color w:val="auto"/>
        </w:rPr>
      </w:pPr>
    </w:p>
    <w:p>
      <w:pPr>
        <w:ind w:left="180" w:right="100"/>
        <w:spacing w:after="0" w:line="259" w:lineRule="auto"/>
        <w:rPr>
          <w:sz w:val="20"/>
          <w:szCs w:val="20"/>
          <w:color w:val="auto"/>
        </w:rPr>
      </w:pPr>
      <w:r>
        <w:rPr>
          <w:rFonts w:ascii="Arial" w:cs="Arial" w:eastAsia="Arial" w:hAnsi="Arial"/>
          <w:sz w:val="18"/>
          <w:szCs w:val="18"/>
          <w:b w:val="1"/>
          <w:bCs w:val="1"/>
          <w:i w:val="1"/>
          <w:iCs w:val="1"/>
          <w:color w:val="auto"/>
        </w:rPr>
        <w:t>We could be subject to product liability lawsuits based on the use of our product candidates in clinical testing or, if obtained, following our products’ marketing approval and commercialization. Product liability lawsuits brought against us or any of our future collaborators could divert our resources and attention, require us to cease clinical testing, cause us to incur substantial liabilities or limit commercialization of our product candidates.</w:t>
      </w:r>
    </w:p>
    <w:p>
      <w:pPr>
        <w:spacing w:after="0" w:line="18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biopharmaceutical products. Currently, we have no products that have been approved for commercial sale; however, the use of our product candidates and medical devices to deliver such product candidates by us and any collaborators in clinical trials may expose us to liability claims. We will face an even greater risk if product candidates and medical devices to deliver such product candidates are approved by regulatory authorities and introduced commercially. Product liability claims may be brought against us or our partners if any product candidate or medical devices to deliver such product candidates we develop allegedly causes injury or are found to be otherwise unsuitable for human use during product testing, manufacturing, marketing or sale. Any such product liability claim may include allegations of defects in manufacturing, defects in design, a failure to warn of dangers inherent in the product, negligence, strict liability and a breach of warranties. Claims could also be asserted under state consumer protection acts. Such claims could be made by participants enrolled in our clinical trials, patients, healthcare providers, biopharmaceutical companies, our collaborators or others using, administering or selling any of our future approved products. If we cannot successfully defend ourselves against any such claims, we may incur substantial liabilities or be required to limit commercialization of our product candidates. Even successful defense would require significant financial and management resources.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Regardless of the merits or eventual outcome, product liability claims may result in:</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any of our future approved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litigation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patients or other claimants;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recalls or a change in the indications for which any approved drug products may be used;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Although the clinical trial process is designed to identify and assess potential side effects, clinical development does not always fully characterize the safety and efficacy profile of a new medicine, and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If any of our product candidates are approved for commercial sale, we will be highly dependent upon consumer perceptions of us and the safety and quality of our products. We could be adversely affected if we are subject to negative publicity associated with illness or other adverse effects resulting from physicians’ or patients’ use or misuse of our products or any similar products distributed by other companies.</w:t>
      </w:r>
    </w:p>
    <w:p>
      <w:pPr>
        <w:spacing w:after="0" w:line="17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maintain product liability insurance coverage limited to clinical trial liability, and this insurance may not fully cover potential liabilities that we may incur. The cost of any product liability litigation or other proceeding, even if resolved in our favor, could be substantial. We will need to increase our insurance coverage if we commercialize any product that receives regulatory approval.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192" w:lineRule="exact"/>
        <w:rPr>
          <w:sz w:val="20"/>
          <w:szCs w:val="20"/>
          <w:color w:val="auto"/>
        </w:rPr>
      </w:pPr>
    </w:p>
    <w:p>
      <w:pPr>
        <w:jc w:val="both"/>
        <w:ind w:left="180" w:right="200"/>
        <w:spacing w:after="0" w:line="340" w:lineRule="auto"/>
        <w:rPr>
          <w:sz w:val="20"/>
          <w:szCs w:val="20"/>
          <w:color w:val="auto"/>
        </w:rPr>
      </w:pPr>
      <w:r>
        <w:rPr>
          <w:rFonts w:ascii="Arial" w:cs="Arial" w:eastAsia="Arial" w:hAnsi="Arial"/>
          <w:sz w:val="15"/>
          <w:szCs w:val="15"/>
          <w:b w:val="1"/>
          <w:bCs w:val="1"/>
          <w:i w:val="1"/>
          <w:iCs w:val="1"/>
          <w:color w:val="auto"/>
        </w:rPr>
        <w:t>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13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from biopharmaceutical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Specifically, we face competition from 501(c)(3) non-profit medical research organizations, including the Usona Institute. Such non-profits may be willing to provide treatment at cost or for free, undermining our potential market for GH001, GH002, GH003 and any other product candidates we may develop. In addition, a number of for-profit biotechnology companies or institutions are specifically pursuing the development of 5-MeO-DMT or other tryptamines, such as psilocybin and N,N-Dimethyltryptamine, to treat mental health illnesses, including TRD. These competitors include Beckley Psytech, COMPASS Pathways, Cybin, Entheon, Mindmed, Small Pharma and Viridia Life Sciences. In addition, an increasing number of companies are stepping up their efforts in discovery of new psychoactive compounds. It is also probable that the number of companies seeking to develop psychoactive products and therapies for the treatment of mental health illnesses, such as depression, will increase. If any of our competitors are granted an NDA for their therapies before us and manages to obtain approval for a broader indication, and thus access a wider patient population, we may face more intensified competition from such potential therapies and increased difficulties in winning market acceptance of our GH001, GH002 and GH003 product candidates or any future product candidates. All of these risks are heightened because 5-MeO-DMT, which is a naturally occurring substance and therefore not subject to patent protection, may be deemed an appropriate substitute for GH001, GH002 and GH003.</w:t>
      </w:r>
    </w:p>
    <w:p>
      <w:pPr>
        <w:spacing w:after="0" w:line="17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also face competition from larger and smaller pharmaceutical, biopharmaceutical and biotechnology companies who have developed or are developing therapies for the treatment of MDD and TRD, including Axsome Therapeutics, Praxis Precision Medicines, Relmada Therapeutics and Sage Therapeutics, and will face future competition for any other indications we may seek to treat with our GH001, GH002 and GH003 product candidates. There are a number of companies that currently market and sell products or therapies, or are pursuing the development of products or therapies, for the treatment of depression, including antidepressants such as SSRIs and serotonergic norepinephrine reuptake inhibitors, or SNRIs, antipsychotics, cognitive behavioral therapy, or CBT, esketamine and ketamine, repeat transcranial magnetic stimulation, or rTMS, electroconvulsive therapy, or ECT, vagus nerve stimulation, or VNS, deep brain stimulation, or DBS, N-methyl-D-aspartate antagonists, neurosteroids, and other serotonergic psychedelics such as psilocybin and N,N-Dimethyltryptamine, among others. Many of these pharmaceutical, biopharmaceutical and biotechnology competitors have established markets for their therapies and have substantially greater financial, technical, human and other resources than we do and may be better equipped to develop, manufacture and market superior products or therapies. In addition, many of these competitors have significantly greater experience than we have in undertaking nonclinical studies and human clinical trials of new therapeutic substances and in obtaining regulatory approvals of human therapeutic products. Accordingly, our competitors may succeed in obtaining FDA, EMA or other comparable foreign regulatory authority approval for alternative or superior products.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171"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If any of these competitors or competitors for our other product candidates receive FDA, EMA or other comparable foreign regulatory authority approval before we do, our product candidates would not be the first treatment on the market, and our market share may be limited. In addition to competition from other companies targeting our target indications, any products we may develop may also face competition from other types of therapies.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Many of our current or potential competitors, either alone or with their strategic partners, have:</w:t>
      </w:r>
    </w:p>
    <w:p>
      <w:pPr>
        <w:spacing w:after="0" w:line="225" w:lineRule="exact"/>
        <w:rPr>
          <w:sz w:val="20"/>
          <w:szCs w:val="20"/>
          <w:color w:val="auto"/>
        </w:rPr>
      </w:pPr>
    </w:p>
    <w:p>
      <w:pPr>
        <w:ind w:left="660" w:right="18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financial, technical and human resources than we have at every stage of the discovery, development, manufacture and commercialization of products;</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more extensive experience in nonclinical studies, conducting clinical trials, obtaining regulatory approvals, and in manufacturing, marketing and selling drug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more developed intellectual property portfolios;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products that have been approved or are in late stages of development;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collaborative arrangements in our target markets with leading companies and research institutions.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Mergers and acquisitions in the biopharmaceutical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our targeted disease indications or similar indications, which could give such products significant regulatory and market timing advantages over our product candidates. Our competitors also may obtain FDA, EMA or other comparable foreign regulatory approval for their products more rapidly than we may obtain approval for ours and may obtain orphan product exclusivity from the FDA for indications that we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spacing w:after="0" w:line="16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The availability of our competitors’ products could limit the demand, and the price we are able to charge, for any products that we may develop and commercialize.</w:t>
      </w:r>
    </w:p>
    <w:p>
      <w:pPr>
        <w:spacing w:after="0" w:line="187" w:lineRule="exact"/>
        <w:rPr>
          <w:sz w:val="20"/>
          <w:szCs w:val="20"/>
          <w:color w:val="auto"/>
        </w:rPr>
      </w:pPr>
    </w:p>
    <w:p>
      <w:pPr>
        <w:jc w:val="both"/>
        <w:ind w:left="180" w:right="200"/>
        <w:spacing w:after="0" w:line="263" w:lineRule="auto"/>
        <w:rPr>
          <w:sz w:val="20"/>
          <w:szCs w:val="20"/>
          <w:color w:val="auto"/>
        </w:rPr>
      </w:pPr>
      <w:r>
        <w:rPr>
          <w:rFonts w:ascii="Arial" w:cs="Arial" w:eastAsia="Arial" w:hAnsi="Arial"/>
          <w:sz w:val="18"/>
          <w:szCs w:val="18"/>
          <w:b w:val="1"/>
          <w:bCs w:val="1"/>
          <w:i w:val="1"/>
          <w:iCs w:val="1"/>
          <w:color w:val="auto"/>
        </w:rPr>
        <w:t>Our inhalable GH001 5-MeO-DMT product candidate is delivered via inhalation of aerosols produced by a vaporization device which is subject to device regulations in the United States and other jurisdictions. The FDA, EMA or other comparable foreign regulatory authorities, may not accept this device for clinical trials.</w:t>
      </w:r>
    </w:p>
    <w:p>
      <w:pPr>
        <w:spacing w:after="0" w:line="18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current and previous clinical trials, GH001 has been vaporized using a device we have purchased on the market from a third party. This device has been used in previous trials in the United States. However, there can be no assurance that the FDA or other comparable foreign regulatory authorities will allow it to be used with GH001. In addition, we may decide in future clinical trials to use a different device than the one we have used previously. For example, we have started to develop a proprietary delivery device for GH001 with a CDMO. In either case, we would need to do additional development work and conduct additional studies, including bridging studies to bridge our prior device to any new device we may decide to use, prior to using the new device in future clinical trials. Any delays as a result of changing medical devices to deliver our product candidates would have a material adverse effect on our business.</w:t>
      </w:r>
    </w:p>
    <w:p>
      <w:pPr>
        <w:spacing w:after="0" w:line="19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do not have a commercial supply agreement with the third-party manufacturer of the device we currently use in clinical trials, nor have we established license agreements with any alternative provider of a device, which would be suitable to generate a pharmaceutically acceptable aerosol from GH001. We have only recently started working with a CDMO to develop a proprietary delivery device for GH001 and there can be no reassurance that this arrangement will lead to a device that is suitable for our purpose or at prices acceptable to us. If FDA, EMA or other comparable foreign regulatory authorities refuse to accept the use of the current third-party device in our planned clinical trials and if we fail to develop, manufacture, license, or acquire an alternative device which would be suitable to generate a pharmaceutically acceptable aerosol from GH001, or if we fail to get sufficient supplies of the current third-party device or any alternative device, then initiation of additional clinical trials or marketing approval could be significantly delayed or prevented.</w:t>
      </w:r>
    </w:p>
    <w:p>
      <w:pPr>
        <w:spacing w:after="0" w:line="192"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Additional time may be required to obtain regulatory approval for GH001 because it is administered as a combination product, which we expect to be true for GH002 and GH003 as well.</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GH001 is administered via inhalation of an aerosol produced by a vaporization device. This device is necessary to produce the aerosol and it is therefore a drug and device combination product that requires coordination within the FDA or other comparable foreign regulatory authorities for review of their device and drug components. Similarly we expect GH003, delivered via an intranasal device, to be regulated as a combination product. GH002, which is our injectable 5-MeO-DMT formulation, is also expected to be regulated as a combination product, but this classification will depend on our final choice of commercial presentation. Medical products containing a combination of new drugs, biological products or medical devices may be regulated as “combination products” in the United States and Europe. A combination product generally is defined as a product comprised of components from two or more regulatory categories (e.g., drug/device, device/biologic, drug/biologic). Each component of a combination product is subject to the requirements established by the FDA for that type of component, whether a new drug, biologic or device. In order to facilitate pre-market review of combination products, the FDA designates one of its centers to have primary jurisdiction for the pre-market review and regulation of the overall product based upon a determination by the FDA of the primary mode of action of the combination product. Where approval of the drug and device is sought under a single application, there could be delays in the approval process due to the increased complexity of the review process. The EMA has a parallel review process in place for combination products, the potential effects of which in terms of approval and timing could independently affect our ability to market our combination products in Europe.</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Controlled Substances</w:t>
      </w:r>
    </w:p>
    <w:p>
      <w:pPr>
        <w:spacing w:after="0" w:line="229" w:lineRule="exact"/>
        <w:rPr>
          <w:sz w:val="20"/>
          <w:szCs w:val="20"/>
          <w:color w:val="auto"/>
        </w:rPr>
      </w:pPr>
    </w:p>
    <w:p>
      <w:pPr>
        <w:ind w:left="180"/>
        <w:spacing w:after="0" w:line="272" w:lineRule="auto"/>
        <w:rPr>
          <w:sz w:val="20"/>
          <w:szCs w:val="20"/>
          <w:color w:val="auto"/>
        </w:rPr>
      </w:pPr>
      <w:r>
        <w:rPr>
          <w:rFonts w:ascii="Arial" w:cs="Arial" w:eastAsia="Arial" w:hAnsi="Arial"/>
          <w:sz w:val="17"/>
          <w:szCs w:val="17"/>
          <w:b w:val="1"/>
          <w:bCs w:val="1"/>
          <w:i w:val="1"/>
          <w:iCs w:val="1"/>
          <w:color w:val="auto"/>
        </w:rPr>
        <w:t>GH001, GH002, and GH003, and any future product candidates we may develop, are subject to controlled substance laws and regulations in the territories where the product will be marketed, such as the United States, the European Union, the United Kingdom and the rest of Europe, as well as the UN international drug control treaties, and failure to comply with these laws and regulations, or the cost of compliance with these laws and regulations, may adversely affect the results of our business operations, both during clinical development and post-approval, and our financial condition. In addition, during the review process of GH001, GH002, and GH003, and prior to approval, the FDA, EMA and/or other comparable foreign regulatory authorities may require additional data, including with respect to whether GH001, GH002 or GH003 has abuse potential. This may delay approval and any potential rescheduling process.</w:t>
      </w:r>
    </w:p>
    <w:p>
      <w:pPr>
        <w:spacing w:after="0" w:line="17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the United States, 5-MeO-DMT is classified under the federal CSA and regulations as a controlled substance or scheduled substance, specifically as a Schedule I substance. The DEA regulates chemical compounds as Schedule I, II, III, IV or V substances. Schedule I substances by definition have a high potential for abuse, have no currently “accepted medical use” in the United States, lack accepted safety for use under medical supervision, and may not be prescribed, marketed or sold in the United States. Pharmaceutical products approved for medical use in the United States may be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security requirements and import/export restrictions. In addition, dispensing of Schedule II drugs is further restricted. For example, Schedule II prescriptions must contain a written signature and may not be refilled without a new prescription. Further, most, if not all, state laws in the United States classify 5-MeO-DMT as a Schedule I controlled substance. For any product containing 5-MeO-DMT to be available for commercial marketing in the United States, 5-MeO-DMT must be rescheduled to Schedule II, III, IV or V, or the DEA must reschedule a specific dosage form or product containing 5-MeO-DMT to Schedule II, III, IV or V. Similar rescheduling would be required in the various states and jurisdictions through scheduling-related legislative or administrative action.</w:t>
      </w:r>
    </w:p>
    <w:p>
      <w:pPr>
        <w:spacing w:after="0" w:line="17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Rescheduling determinations by the DEA to a schedule that would authorize the drug to be marketed (i.e., Schedule II, III, IV or V) are dependent on FDA approval of a substance or a specific formulation of a substance. Therefore, while 5-MeO-DMT is a Schedule I controlled substance, products approved by the FDA for medical use in the United States that contain 5-MeO-DMT would meet the statutory criteria to be placed in Schedule II, or another schedule, since approval by the FDA satisfies the “accepted medical use” requirement. If and when GH001, GH002 or GH003 receives FDA approval, the DEA will need to make a scheduling determination and place 5-MeO-DMT in a schedule other than Schedule I in order for it to be prescribed to patients in the United States. This scheduling determination will be dependent on FDA approval and the FDA’s recommendation as to the appropriate schedule. During the review process, and prior to approval, the FDA may determine that it requires additional data, either from nonclinical or clinical studies, including with respect to whether, or to what extent, the substance has the potential for abuse. This may introduce a delay into the approval and any potential rescheduling process. That delay would be dependent on the quantity of additional data required by the FDA. This scheduling determination will require the DEA to conduct notice and comment rulemaking. Such action will be subject to public comment and requests for an administrative hearing which could affect the timing and scheduling of these substances.</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right="20"/>
        <w:spacing w:after="0" w:line="259" w:lineRule="auto"/>
        <w:rPr>
          <w:sz w:val="20"/>
          <w:szCs w:val="20"/>
          <w:color w:val="auto"/>
        </w:rPr>
      </w:pPr>
      <w:r>
        <w:rPr>
          <w:rFonts w:ascii="Arial" w:cs="Arial" w:eastAsia="Arial" w:hAnsi="Arial"/>
          <w:sz w:val="18"/>
          <w:szCs w:val="18"/>
          <w:b w:val="1"/>
          <w:bCs w:val="1"/>
          <w:i w:val="1"/>
          <w:iCs w:val="1"/>
          <w:color w:val="auto"/>
        </w:rPr>
        <w:t>5-MeO-DMT is currently classified as a Schedule I drug in the United States and any product containing this substance, such as GH001, GH002, and GH003 must be rescheduled to be marketed. There can be no assurance that the DEA will make a favorable scheduling decision. Even assuming categorization as a Schedule II or lower controlled substance (i.e., Schedule III, IV or V) at the federal level, such substances would also require scheduling determinations under state laws and regulations.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approved by the FDA, and if the finished dosage form of GH001, GH002 or GH003 is listed by the DEA as a Schedule II, III, or IV controlled substance, its manufacture, importation, exportation, domestic distribution, storage, sale, prescribing, and dispensing will continue to be subject to a significant degree of regulation by the DEA. In addition, the scheduling process may take significantly longer than the 90 day deadline set forth in the CSA, especially if there are objections to such scheduling, thereby delaying the launch of our GH001, GH002 or GH003 product candidates in the United States. Furthermore, the FDA, DEA or any comparable foreign regulatory authority could require us to generate more clinical or other data than we currently anticipate to establish whether or to what extent the substance has an abuse potential, which could increase the cost and/or delay the launch of GH001, GH002, GH003 or any future product candidates containing controlled substances. In addition, product candidates containing controlled substances are subject to regulations relating to manufacturing, storage, distribution, prescribing, and dispensing, including:</w:t>
      </w:r>
    </w:p>
    <w:p>
      <w:pPr>
        <w:spacing w:after="0" w:line="174" w:lineRule="exact"/>
        <w:rPr>
          <w:sz w:val="20"/>
          <w:szCs w:val="20"/>
          <w:color w:val="auto"/>
        </w:rPr>
      </w:pPr>
    </w:p>
    <w:p>
      <w:pPr>
        <w:ind w:left="660" w:right="80" w:hanging="328"/>
        <w:spacing w:after="0" w:line="270"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 xml:space="preserve">DEA registration and inspection of facilities. </w:t>
      </w:r>
      <w:r>
        <w:rPr>
          <w:rFonts w:ascii="Arial" w:cs="Arial" w:eastAsia="Arial" w:hAnsi="Arial"/>
          <w:sz w:val="17"/>
          <w:szCs w:val="17"/>
          <w:color w:val="auto"/>
        </w:rPr>
        <w:t>Facilities conducting research, manufacturing, distributing, importing or exporting, or dispensing</w:t>
      </w:r>
      <w:r>
        <w:rPr>
          <w:rFonts w:ascii="Arial" w:cs="Arial" w:eastAsia="Arial" w:hAnsi="Arial"/>
          <w:sz w:val="17"/>
          <w:szCs w:val="17"/>
          <w:b w:val="1"/>
          <w:bCs w:val="1"/>
          <w:color w:val="auto"/>
        </w:rPr>
        <w:t xml:space="preserve"> </w:t>
      </w:r>
      <w:r>
        <w:rPr>
          <w:rFonts w:ascii="Arial" w:cs="Arial" w:eastAsia="Arial" w:hAnsi="Arial"/>
          <w:sz w:val="17"/>
          <w:szCs w:val="17"/>
          <w:color w:val="auto"/>
        </w:rPr>
        <w:t>controlled substances must be registered (licensed) to perform these activities and have the security, control, record keeping, reporting and inventory mechanisms required by the DEA to prevent drug loss and diversion. All these facilities must renew their registrations annually, except dispensing facilities, which must renew every three years. The DEA conducts periodic inspections of certain registered establishments that handle controlled substances. Failure to obtain or maintain the necessary registrations may result in delay of the importation, manufacturing or distribution of GH001, GH002 or GH003. Furthermore, importation of controlled substances is subject to additional permits or approvals, which must be obtained prior to each importation. Failure to comply with the CSA, particularly non-compliance resulting in theft, loss or diversion, can result in regulatory action that would have a material adverse effect on our business, financial condition and results of operations. The DEA may seek civil penalties, refuse to renew necessary registrations, or initiate proceedings to restrict, suspend or revoke those registrations. In certain circumstances, violations could lead to criminal proceedings.</w:t>
      </w:r>
    </w:p>
    <w:p>
      <w:pPr>
        <w:spacing w:after="0" w:line="176" w:lineRule="exact"/>
        <w:rPr>
          <w:rFonts w:ascii="Arial" w:cs="Arial" w:eastAsia="Arial" w:hAnsi="Arial"/>
          <w:sz w:val="17"/>
          <w:szCs w:val="17"/>
          <w:color w:val="auto"/>
        </w:rPr>
      </w:pPr>
    </w:p>
    <w:p>
      <w:pPr>
        <w:ind w:left="660" w:hanging="328"/>
        <w:spacing w:after="0" w:line="272"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 xml:space="preserve">State-controlled substances laws. </w:t>
      </w:r>
      <w:r>
        <w:rPr>
          <w:rFonts w:ascii="Arial" w:cs="Arial" w:eastAsia="Arial" w:hAnsi="Arial"/>
          <w:sz w:val="17"/>
          <w:szCs w:val="17"/>
          <w:color w:val="auto"/>
        </w:rPr>
        <w:t>Individual U.S. states have also established controlled substance laws and regulations. Though state-controlled</w:t>
      </w:r>
      <w:r>
        <w:rPr>
          <w:rFonts w:ascii="Arial" w:cs="Arial" w:eastAsia="Arial" w:hAnsi="Arial"/>
          <w:sz w:val="17"/>
          <w:szCs w:val="17"/>
          <w:b w:val="1"/>
          <w:bCs w:val="1"/>
          <w:color w:val="auto"/>
        </w:rPr>
        <w:t xml:space="preserve"> </w:t>
      </w:r>
      <w:r>
        <w:rPr>
          <w:rFonts w:ascii="Arial" w:cs="Arial" w:eastAsia="Arial" w:hAnsi="Arial"/>
          <w:sz w:val="17"/>
          <w:szCs w:val="17"/>
          <w:color w:val="auto"/>
        </w:rPr>
        <w:t>substances laws often mirror federal law, because the states are separate jurisdictions, they will need to separately reschedule GH001, GH002 or GH003. While some states automatically schedule or reschedule a drug based on federal action, other states schedule drugs through rule making or a legislative action. State scheduling may delay commercial sale of any product for which we obtain federal regulatory approval and adverse scheduling would have a material adverse effect on the commercial attractiveness of such product. We or our partners must also obtain separate state registrations, permits or licenses in order to be able to obtain, handle, and distribute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171" w:lineRule="exact"/>
        <w:rPr>
          <w:rFonts w:ascii="Arial" w:cs="Arial" w:eastAsia="Arial" w:hAnsi="Arial"/>
          <w:sz w:val="17"/>
          <w:szCs w:val="17"/>
          <w:color w:val="auto"/>
        </w:rPr>
      </w:pPr>
    </w:p>
    <w:p>
      <w:pPr>
        <w:ind w:left="660" w:right="20" w:hanging="328"/>
        <w:spacing w:after="0" w:line="273"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 xml:space="preserve">Clinical trials. </w:t>
      </w:r>
      <w:r>
        <w:rPr>
          <w:rFonts w:ascii="Arial" w:cs="Arial" w:eastAsia="Arial" w:hAnsi="Arial"/>
          <w:sz w:val="17"/>
          <w:szCs w:val="17"/>
          <w:color w:val="auto"/>
        </w:rPr>
        <w:t>Because our GH001, GH002 and GH003 product candidates contain 5-MeO-DMT, to conduct clinical trials with GH001, GH002</w:t>
      </w:r>
      <w:r>
        <w:rPr>
          <w:rFonts w:ascii="Arial" w:cs="Arial" w:eastAsia="Arial" w:hAnsi="Arial"/>
          <w:sz w:val="17"/>
          <w:szCs w:val="17"/>
          <w:b w:val="1"/>
          <w:bCs w:val="1"/>
          <w:color w:val="auto"/>
        </w:rPr>
        <w:t xml:space="preserve"> </w:t>
      </w:r>
      <w:r>
        <w:rPr>
          <w:rFonts w:ascii="Arial" w:cs="Arial" w:eastAsia="Arial" w:hAnsi="Arial"/>
          <w:sz w:val="17"/>
          <w:szCs w:val="17"/>
          <w:color w:val="auto"/>
        </w:rPr>
        <w:t>and GH003 in the United States prior to approval, each of our research sites must submit a research protocol to the DEA and obtain and maintain a DEA Schedule I researcher registration that will allow those sites to handle and dispense GH001, GH002 and GH003 and to obtain the product from our importer. If the DEA delays or denies the grant of a researcher registration to one or more research sites, the clinical trial could be significantly delayed, and we could lose clinical trial sites. The importer for the clinical trials must also obtain a Schedule I importer registration and an import permit for each import. We do not currently conduct any manufacturing or repackaging/relabeling of either GH001, GH002 or their active ingredients (i.e., 5-MeO-DMT) in the United States.</w:t>
      </w:r>
    </w:p>
    <w:p>
      <w:pPr>
        <w:spacing w:after="0" w:line="171" w:lineRule="exact"/>
        <w:rPr>
          <w:rFonts w:ascii="Arial" w:cs="Arial" w:eastAsia="Arial" w:hAnsi="Arial"/>
          <w:sz w:val="17"/>
          <w:szCs w:val="17"/>
          <w:color w:val="auto"/>
        </w:rPr>
      </w:pPr>
    </w:p>
    <w:p>
      <w:pPr>
        <w:ind w:left="660" w:hanging="328"/>
        <w:spacing w:after="0" w:line="286"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Post-Approval Importation. </w:t>
      </w:r>
      <w:r>
        <w:rPr>
          <w:rFonts w:ascii="Arial" w:cs="Arial" w:eastAsia="Arial" w:hAnsi="Arial"/>
          <w:sz w:val="16"/>
          <w:szCs w:val="16"/>
          <w:color w:val="auto"/>
        </w:rPr>
        <w:t>If GH001, GH002 or GH003 is approved and classified as a Schedule II, III or IV substance, an importer can import</w:t>
      </w:r>
      <w:r>
        <w:rPr>
          <w:rFonts w:ascii="Arial" w:cs="Arial" w:eastAsia="Arial" w:hAnsi="Arial"/>
          <w:sz w:val="16"/>
          <w:szCs w:val="16"/>
          <w:b w:val="1"/>
          <w:bCs w:val="1"/>
          <w:color w:val="auto"/>
        </w:rPr>
        <w:t xml:space="preserve"> </w:t>
      </w:r>
      <w:r>
        <w:rPr>
          <w:rFonts w:ascii="Arial" w:cs="Arial" w:eastAsia="Arial" w:hAnsi="Arial"/>
          <w:sz w:val="16"/>
          <w:szCs w:val="16"/>
          <w:color w:val="auto"/>
        </w:rPr>
        <w:t>it for commercial purposes if it obtains an importer registration and files an application for an import permit (Schedule II) or files an import declaration (Schedule III or IV) for each import shipment. The DEA provides annual assessments/estimates to the UN International Narcotics Control Board, which guides the DEA in the amounts of controlled substances that the DEA authorizes to be imported. The failure to identify an importer or obtain the necessary import authority, including specific quantities, could affect the availability of GH001, GH002 or GH003 and have a material adverse effect on our business, results of operations and financial condition. In addition, an application for a Schedule II importer registration must be published in the Federal Register, and there is a notice and comment period to receive public comments. It is always possible that adverse comments may delay the grant of an importer registration. If GH001, GH002 or GH003 is approved and classified as a Schedule II controlled substance, federal law may prohibit the import of the substance for commercial purposes. If GH001, GH002 or GH003 is listed as a Schedule II substance, we will not be allowed to import the drug for commercial purposes unless the DEA determines that domestic supplies are inadequate or there is inadequate domestic competition among domestic manufacturers for the substance as defined by the DEA. Moreover, Schedule I controlled substances, including 5-MeO-DMT, have never been registered with the DEA for importation for commercial purposes, only for scientific and research needs. Therefore, if neither GH001, GH002 or GH003, nor its drug substance could be imported, GH001, GH002 and GH003 would have to be wholly manufactured in the United States, and we would need to secure a manufacturer that would be required to obtain and maintain a separate DEA registration for that activity.</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660" w:hanging="328"/>
        <w:spacing w:after="0" w:line="291"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Manufacture in the United States. </w:t>
      </w:r>
      <w:r>
        <w:rPr>
          <w:rFonts w:ascii="Arial" w:cs="Arial" w:eastAsia="Arial" w:hAnsi="Arial"/>
          <w:sz w:val="16"/>
          <w:szCs w:val="16"/>
          <w:color w:val="auto"/>
        </w:rPr>
        <w:t>If, because of a Schedule II classification or voluntarily, we were to conduct manufacturing or</w:t>
      </w:r>
      <w:r>
        <w:rPr>
          <w:rFonts w:ascii="Arial" w:cs="Arial" w:eastAsia="Arial" w:hAnsi="Arial"/>
          <w:sz w:val="16"/>
          <w:szCs w:val="16"/>
          <w:b w:val="1"/>
          <w:bCs w:val="1"/>
          <w:color w:val="auto"/>
        </w:rPr>
        <w:t xml:space="preserve"> </w:t>
      </w:r>
      <w:r>
        <w:rPr>
          <w:rFonts w:ascii="Arial" w:cs="Arial" w:eastAsia="Arial" w:hAnsi="Arial"/>
          <w:sz w:val="16"/>
          <w:szCs w:val="16"/>
          <w:color w:val="auto"/>
        </w:rPr>
        <w:t>repackaging/relabeling in the United States for commercial purposes, our contract manufacturers would be subject to the DEA’s annual manufacturing and procurement quota requirements. Additionally, regardless of the scheduling of GH001, GH002 or GH003, the active ingredient in the final dosage form is currently a Schedule I controlled substance and would be subject to such quotas as this substance could remain listed on Schedule I during the clinical trials. The annual quota allocated to us or our contract manufacturers for the active ingredient in GH001, GH002 or GH003 may not be sufficient to complete clinical trials or meet commercial demand. Consequently, any delay or refusal by the DEA in establishing our, or our contract manufacturers’, procurement and/or production quota for controlled substances could delay or stop our clinical trials or product launches, which would have a material adverse effect on our business, financial position and results of operations.</w:t>
      </w:r>
    </w:p>
    <w:p>
      <w:pPr>
        <w:spacing w:after="0" w:line="159" w:lineRule="exact"/>
        <w:rPr>
          <w:rFonts w:ascii="Arial" w:cs="Arial" w:eastAsia="Arial" w:hAnsi="Arial"/>
          <w:sz w:val="16"/>
          <w:szCs w:val="16"/>
          <w:color w:val="auto"/>
        </w:rPr>
      </w:pPr>
    </w:p>
    <w:p>
      <w:pPr>
        <w:ind w:left="660" w:right="40" w:hanging="328"/>
        <w:spacing w:after="0" w:line="286"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Distribution in the United States and the United Kingdom. </w:t>
      </w:r>
      <w:r>
        <w:rPr>
          <w:rFonts w:ascii="Arial" w:cs="Arial" w:eastAsia="Arial" w:hAnsi="Arial"/>
          <w:sz w:val="16"/>
          <w:szCs w:val="16"/>
          <w:color w:val="auto"/>
        </w:rPr>
        <w:t>If GH001, GH002 or GH003 is scheduled as Schedule II, III or IV, we would also</w:t>
      </w:r>
      <w:r>
        <w:rPr>
          <w:rFonts w:ascii="Arial" w:cs="Arial" w:eastAsia="Arial" w:hAnsi="Arial"/>
          <w:sz w:val="16"/>
          <w:szCs w:val="16"/>
          <w:b w:val="1"/>
          <w:bCs w:val="1"/>
          <w:color w:val="auto"/>
        </w:rPr>
        <w:t xml:space="preserve"> </w:t>
      </w:r>
      <w:r>
        <w:rPr>
          <w:rFonts w:ascii="Arial" w:cs="Arial" w:eastAsia="Arial" w:hAnsi="Arial"/>
          <w:sz w:val="16"/>
          <w:szCs w:val="16"/>
          <w:color w:val="auto"/>
        </w:rPr>
        <w:t>need to identify wholesale distributors with the appropriate DEA registrations and authority to distribute GH001, GH002, GH003 and any future product candidates. These distributors would need to maintain Schedule II, III or IV distribution registrations. This limitation in the ability to distribute GH001, GH002 or GH003 more broadly may limit commercial uptake and could negatively impact our prospects. The failure to obtain, or delay in obtaining, or the loss of any of those registrations could result in increased costs to us. If GH001, GH002 or GH003 is a Schedule II drug, participants in our supply chain may have to maintain enhanced security including specially constructed vaults at manufacturing and distribution facilities. This additional security may also discourage some pharmacies from carrying the product. In addition, GH001, GH002 and GH003 will likely be required to be administered at our trial sites or other certified healthcare settings, which could limit commercial uptake. Furthermore, state and federal enforcement actions, regulatory requirements, and legislation intended to reduce prescription drug abuse, such as the tracking of prescribing and dispensing of controlled substances through a state prescription drug monitoring program, may make physicians less willing to prescribe, and pharmacies to dispense, certain controlled substances, especially Schedule II products. Similarly, the MHRA considers that all Schedule 1 drugs under the United Kingdom’s Misuse of Drugs Regulations 2001 (which Schedule includes 5-MeO-DMT) have no therapeutic benefit, and can only be imported, exported, produced, supplied and the like under a license issued by the UK government’s Home Office. 5-MeO-DMT may never be rescheduled under the Misuse of Drugs Regulations 2001, or reclassified under the United Kingdom’s Misuse of Drugs Act 1971 (under which it is a Class A controlled substance).</w:t>
      </w:r>
    </w:p>
    <w:p>
      <w:pPr>
        <w:spacing w:after="0" w:line="171"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The potential reclassification of 5-MeO-DMT in the United States could create additional regulatory burdens on our operations and negatively affect our results of operations.</w:t>
      </w:r>
    </w:p>
    <w:p>
      <w:pPr>
        <w:spacing w:after="0" w:line="170" w:lineRule="exact"/>
        <w:rPr>
          <w:sz w:val="20"/>
          <w:szCs w:val="20"/>
          <w:color w:val="auto"/>
        </w:rPr>
      </w:pPr>
    </w:p>
    <w:p>
      <w:pPr>
        <w:ind w:right="160" w:firstLine="324"/>
        <w:spacing w:after="0" w:line="288" w:lineRule="auto"/>
        <w:rPr>
          <w:sz w:val="20"/>
          <w:szCs w:val="20"/>
          <w:color w:val="auto"/>
        </w:rPr>
      </w:pPr>
      <w:r>
        <w:rPr>
          <w:rFonts w:ascii="Arial" w:cs="Arial" w:eastAsia="Arial" w:hAnsi="Arial"/>
          <w:sz w:val="16"/>
          <w:szCs w:val="16"/>
          <w:color w:val="auto"/>
        </w:rPr>
        <w:t>If 5-MeO-DMT, rather than just a specific FDA-approved formulation, is rescheduled under the CSA as a Schedule II or lower controlled substance (i.e., Schedule III, IV or V), the ability to conduct research on 5-MeO-DMT would most likely be improved. However, rescheduling 5-MeO-DMT may materially alter enforcement policies across many federal and state agencies, primarily the FDA and DEA. The FDA is responsible for ensuring public health and safety through regulation of food, drugs, supplements, and cosmetics, among other products, through its enforcement authority pursuant to the Federal Food, Drug, and Cosmetic Act, or FDCA. The FDA’s responsibilities include regulating the ingredients as well as the marketing and labeling of drugs sold in interstate commerce. Because it is currently illegal under federal law to produce and sell 5-MeO-DMT, and because there are no federally recognized medical uses, the FDA has historically deferred enforcement related to 5-MeO-DMT to the DEA. If 5-MeO-DMT were to be rescheduled to a federally controlled, yet legal, substance, the FDA would likely play a more active regulatory role. The DEA would continue to be active in regulating manufacturing, distribution and dispensing of such substances. The potential for multi-agency enforcement post-rescheduling, including state agencies, e.g., Boards of Pharmacy, could threaten or have a materially adverse effect on our business.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right="80"/>
        <w:spacing w:after="0" w:line="263" w:lineRule="auto"/>
        <w:rPr>
          <w:sz w:val="20"/>
          <w:szCs w:val="20"/>
          <w:color w:val="auto"/>
        </w:rPr>
      </w:pPr>
      <w:r>
        <w:rPr>
          <w:rFonts w:ascii="Arial" w:cs="Arial" w:eastAsia="Arial" w:hAnsi="Arial"/>
          <w:sz w:val="18"/>
          <w:szCs w:val="18"/>
          <w:b w:val="1"/>
          <w:bCs w:val="1"/>
          <w:i w:val="1"/>
          <w:iCs w:val="1"/>
          <w:color w:val="auto"/>
        </w:rPr>
        <w:t>GH001, GH002 and GH003 contain controlled substances, the use of which may generate public controversy. Adverse publicity or public perception regarding 5-MeO-DMT and psychedelics generally or our current or future product candidates using 5-MeO-DMT may negatively influence the success of these therapies.</w:t>
      </w:r>
    </w:p>
    <w:p>
      <w:pPr>
        <w:spacing w:after="0" w:line="18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Therapies containing controlled substances may generate public controversy. Political and social pressures and adverse publicity could lead to delays in approval of, and increased expenses for, GH001, GH002, GH003 and any future product candidates we may develop. Opponents of these therapies may seek restrictions on marketing and withdrawal of any regulatory approvals. In addition, these opponents may seek to generate negative publicity in an effort to persuade the medical community to reject these therapies. For example, we may face media-communicated criticism directed at our clinical development program. Adverse publicity from 5-MeO-DMT misuse may adversely affect the commercial success or market penetration achievable by our GH001, GH002 and GH003 product candidates. Anti-psychedelic protests have historically occurred and may occur and generate media coverage. Political pressures and adverse publicity could lead to delays in, and increased expenses for, and limit or restrict the introduction and marketing of, GH001, GH002, GH003 or any future product candidates.</w:t>
      </w:r>
    </w:p>
    <w:p>
      <w:pPr>
        <w:spacing w:after="0" w:line="178"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If GH001, GH002, GH003 or any future product candidates are approved for commercial sale, we will be highly dependent upon consumer perceptions of the safety and quality of our therapies. We may face limited adoption if third-party therapy sites, therapists, and patients are unwilling to try such a novel treatment. Even if therapies containing controlled substances become widely accepted by physicians and patients, our success will depend in large part on our ability to educate and train physicians and patients, and to successfully demonstrate the safety, tolerability, ease of use, efficacy, cost effectiveness and other advantages of therapies containing controlled substances. There has been a history of negative media coverage regarding psychedelic substances, including 5-MeO-DMT, which may affect the public’s perception of our therapies. In addition, 5-MeO-DMT elicits intense psychological experiences, and this could deter patients from choosing this course of treatment. We could be adversely affected if we were subject to negative publicity or if any of our therapies or any similar therapies distributed by other companies prove to be, or are asserted to be, harmful to patients. Because of our dependence upon consumer perception, any adverse publicity associated with illness or other adverse effects resulting from patients’ use or misuse of our therapies or any similar therapies distributed by other companies could have a material adverse impact on our business, prospects, financial condition and results of operations.</w:t>
      </w:r>
    </w:p>
    <w:p>
      <w:pPr>
        <w:spacing w:after="0" w:line="182"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Future adverse events in research into depression and mental health diseases on which we focus our research efforts, or the pharmaceutical industry more generally, could also result in greater governmental regulation, stricter labeling requirements and potential regulatory delays in the testing or approvals of our therapies. Any increased scrutiny could delay or increase the costs of obtaining regulatory approval for GH001, GH002, GH003 or any future product candidates.</w:t>
      </w:r>
    </w:p>
    <w:p>
      <w:pPr>
        <w:spacing w:after="0" w:line="187" w:lineRule="exact"/>
        <w:rPr>
          <w:sz w:val="20"/>
          <w:szCs w:val="20"/>
          <w:color w:val="auto"/>
        </w:rPr>
      </w:pPr>
    </w:p>
    <w:p>
      <w:pPr>
        <w:ind w:left="180" w:right="200"/>
        <w:spacing w:after="0" w:line="340" w:lineRule="auto"/>
        <w:rPr>
          <w:sz w:val="20"/>
          <w:szCs w:val="20"/>
          <w:color w:val="auto"/>
        </w:rPr>
      </w:pPr>
      <w:r>
        <w:rPr>
          <w:rFonts w:ascii="Arial" w:cs="Arial" w:eastAsia="Arial" w:hAnsi="Arial"/>
          <w:sz w:val="15"/>
          <w:szCs w:val="15"/>
          <w:b w:val="1"/>
          <w:bCs w:val="1"/>
          <w:i w:val="1"/>
          <w:iCs w:val="1"/>
          <w:color w:val="auto"/>
        </w:rPr>
        <w:t>5-MeO-DMT is listed as a Schedule I controlled substance under the CSA in the United States, and comparable controlled substance legislation in other countries and the UN Convention on Psychotropic Substances, 1971, and any significant breaches in our compliance with these laws and regulations, or changes in the laws and regulations may result in interruptions to our development activity or business continuity.</w:t>
      </w:r>
    </w:p>
    <w:p>
      <w:pPr>
        <w:spacing w:after="0" w:line="13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5-MeO-DMT is categorized as a Schedule I controlled substance under the CSA, a Schedule 1 drug under the United Kingdom’s Misuse of Drugs Regulations 2001 and is similarly categorized by most states, foreign governments and the UN Convention on Psychotropic Substances, 1971. Even assuming that GH001, GH002, GH003 or any future product candidates containing 5-MeO-DMT in specific formulations or dosage forms are approved and scheduled by regulatory authorities to allow their commercial marketing, the ingredients in such product candidates would likely continue to be Schedule I, or the state or foreign equivalent. Violations of any federal, state or foreign laws and regulations could result in significant fines, penalties, administrative sanctions, convictions or settlements arising from civil proceedings conducted by either the federal government or private citizens, or criminal charges and penalties, including, but not limited to, disgorgement of profits, cessation of business activities, divestiture, or prison time. This would have a material adverse effect on us, including on our reputation and ability to conduct business, the potential listing of our ordinary shares, our financial position, operating results, profitability or liquidity or the market price of our ordinary shares. In addition, it is difficult for us to estimate the time or resources that would be needed for the investigation or defense of any such matters or our final resolution because, in part, the time and resources that may be needed are dependent on the nature and extent of any information requested by the applicable authorities involved, and such time or resources could be substantial. It is also illegal to aid or abet such activities or to conspire or attempt to engage in such activities. An investor’s contribution to and involvement in such activities may result in federal civil and/or criminal prosecution, including, but not limited to, forfeiture of his, her or its entire investment, fines and/or imprisonment.</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Various federal, state, provincial and local laws govern our business in the jurisdictions in which we operate or currently plan to operate, and to which we export or currently plan to export our products, including laws relating to health and safety, the conduct of our operations, and the production, storage, sale and distribution of our products. Complying with these laws requires that we comply concurrently with complex federal, state, provincial and/or local laws. These laws change frequently and may be difficult to interpret and apply. To ensure our compliance with these laws, we will need to invest significant financial and managerial resources. It is impossible for us to predict the cost of such laws or the effect they may have on our future operations. A failure to comply with these laws could negatively affect our business and harm our reputation. Changes to these laws could negatively affect our competitive position and the markets in which we operate, and there is no assurance that various levels of government in the jurisdictions in which we operate will not pass legislation or regulation that adversely impacts our business.</w:t>
      </w:r>
    </w:p>
    <w:p>
      <w:pPr>
        <w:spacing w:after="0" w:line="17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addition, even if we or third parties were to conduct activities in compliance with U.S. state or local laws or the laws of other countries and regions in which we conduct activities, potential enforcement proceedings could involve significant restrictions being imposed upon us or third parties, while diverting the attention of key executives. Such proceedings could have a material adverse effect on our business, revenue, operating results and financial condition as well as on our reputation and prospects, even if such proceedings conclude successfully in our favor. In the extreme case, such proceedings could ultimately involve the criminal prosecution of our key executives, the seizure of corporate assets, and consequently, our inability to continue business operations. Strict compliance with state and local laws with respect to 5-MeO-DMT does not absolve us of potential liability under U.S. federal law, the laws of EU member states or of the United Kingdom, nor provide a defense to any proceeding which may be brought against us. Any such proceedings brought against us may adversely affect our operations and financial performance.</w:t>
      </w:r>
    </w:p>
    <w:p>
      <w:pPr>
        <w:spacing w:after="0" w:line="178"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Despite the current status of 5-MeO-DMT as a Schedule I controlled substance in the United States, there may be changes in the status of 5-MeO-DMT under the laws of certain U.S. cities or states. The legalization of 5-MeO-DMT without regulatory oversight may lead to the setup of clinics without proper therapeutic infrastructure or adequate clinical research, which could put patients at risk and bring reputational and regulatory risk to the entire industry, making it harder for us to achieve regulatory approval. Furthermore, the legalization of 5-MeO-DMT could also impact our commercial sales if we receive regulatory approval as it would reduce the barrier to entry and could increase competition.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29" w:lineRule="exact"/>
        <w:rPr>
          <w:sz w:val="20"/>
          <w:szCs w:val="20"/>
          <w:color w:val="auto"/>
        </w:rPr>
      </w:pPr>
    </w:p>
    <w:p>
      <w:pPr>
        <w:ind w:left="180" w:right="340"/>
        <w:spacing w:after="0" w:line="311" w:lineRule="auto"/>
        <w:rPr>
          <w:sz w:val="20"/>
          <w:szCs w:val="20"/>
          <w:color w:val="auto"/>
        </w:rPr>
      </w:pPr>
      <w:r>
        <w:rPr>
          <w:rFonts w:ascii="Arial" w:cs="Arial" w:eastAsia="Arial" w:hAnsi="Arial"/>
          <w:sz w:val="16"/>
          <w:szCs w:val="16"/>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149"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Even if the FDA or a comparable foreign regulatory authority approves any of our product candidates and the medical devices required to deliver such product candidates, we will be subject to ongoing regulatory requirements in the applicable jurisdictions for manufacturing, labeling, packaging, storage, advertising, promotion, sampling, record keeping, conduct of post-marketing studies and submission of safety, efficacy and other post-market information. In addition, we will be subject to continued compliance with cGMP and GCP requirements for any clinical trials that we conduct post-approval.</w:t>
      </w:r>
    </w:p>
    <w:p>
      <w:pPr>
        <w:spacing w:after="0" w:line="15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Manufacturers and their facilities are required to comply with extensive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Any regulatory approvals that we receive for our product candidates and the medical devices required to deliver such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In the United States, the FDA may also require a REMS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16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the United States, the FDA may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or other restrictions; imposition of post-market studies or clinical trials to assess new safety risks; or imposition of distribution restrictions or other restrictions under a REMS. Other potential consequences include, among other things:</w:t>
      </w:r>
    </w:p>
    <w:p>
      <w:pPr>
        <w:spacing w:after="0" w:line="19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manufacturing of our products, the approved manufacturers or the manufacturing process;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the product from the market or voluntary product recalls;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warning or untitled letters from the FDA or comparable notice of violations from comparable foreign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suspensions of any of our ongoing clinical trials;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by the FDA or other comparable foreign regulatory authorities to approve pending applications or supplements to approved applications filed by us or suspension or withdrawal of marketing approvals;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consent decrees, injunctions or the imposition of civil or criminal penalties.</w:t>
      </w:r>
    </w:p>
    <w:p>
      <w:pPr>
        <w:spacing w:after="0" w:line="225"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Regulatory authorities strictly regulate marketing, labeling, advertising and promotion of products that are placed on the market. Products may be promoted only for the approved indications and in accordance with the provisions of the approved label. However, in the United States, companies may share truthful and not misleading information that is not inconsistent with the labeling. The FDA and other comparable foreign regulatory authorities actively enforce the laws and regulations prohibiting the promotion of off-label uses and a company that is found to have improperly promoted off-label uses may be subject to significant liability. Violations of the FDCA relating to the promotion of prescription drugs may also lead to investigations alleging violations of federal and state healthcare fraud and abuse laws, as well as state consumer protection laws. Accordingly, to the extent we receive marketing approval for one or more of our product candidates, we and our third-party partners will continue to expend time, money and effort in all areas of regulatory compliance, including promotional and labeling compliance, manufacturing, production, product surveillance and quality control.</w:t>
      </w:r>
    </w:p>
    <w:p>
      <w:pPr>
        <w:spacing w:after="0" w:line="16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policies of the FDA or other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to,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right="160"/>
        <w:spacing w:after="0" w:line="277" w:lineRule="auto"/>
        <w:rPr>
          <w:sz w:val="20"/>
          <w:szCs w:val="20"/>
          <w:color w:val="auto"/>
        </w:rPr>
      </w:pPr>
      <w:r>
        <w:rPr>
          <w:rFonts w:ascii="Arial" w:cs="Arial" w:eastAsia="Arial" w:hAnsi="Arial"/>
          <w:sz w:val="18"/>
          <w:szCs w:val="18"/>
          <w:b w:val="1"/>
          <w:bCs w:val="1"/>
          <w:i w:val="1"/>
          <w:iCs w:val="1"/>
          <w:color w:val="auto"/>
        </w:rPr>
        <w:t>Our commercial success depends upon attaining significant market acceptance of our product candidates, if approved, among physicians, patients, third-party payors and other members of the medical community.</w:t>
      </w:r>
    </w:p>
    <w:p>
      <w:pPr>
        <w:spacing w:after="0" w:line="170"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Even if any of the product candidates we develop receives marketing approval, they may nonetheless fail to gain sufficient market acceptance by physicians, patients, third-party payors, such as Medicare and Medicaid programs and managed care organizations in the United States, and others in the medical community. In addition, the availability of coverage by third-party payors may be affected by existing and future healthcare reform measures designed to reduce the cost of healthcare. If the product candidates we develop do not achieve an adequate level of acceptance, we may not generate significant product revenues and we may not become profitable.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degree of market acceptance of any product candidate, if approved for commercial sale, will depend on a number of factors, including:</w:t>
      </w:r>
    </w:p>
    <w:p>
      <w:pPr>
        <w:spacing w:after="0" w:line="23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relative convenience and ease of administration compared to alternative treatments;</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perceptions by the medical community, physicians, and patients, regarding the safety and effectiveness of our products and the willingness of the target patient population to try new therapies and of physicians to prescribe these therapies;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size of the market for such product candidate, based on the size of the patient subsets that we are targeting, in the territories for which we gain regulatory approval;</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recommendations with respect to our product candidates in guidelines published by various scientific organizations applicable to us and our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any such marketing approval in relation to other product approvals;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restrictions on concomitant use of other medications;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support from patient advocacy groups;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media coverage regarding psychedelic substances;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If government and other third-party payors do not provide coverage and adequate reimbursement levels for any products we commercialize, market acceptance and commercial success would be reduced.</w:t>
      </w:r>
    </w:p>
    <w:p>
      <w:pPr>
        <w:spacing w:after="0" w:line="170" w:lineRule="exact"/>
        <w:rPr>
          <w:sz w:val="20"/>
          <w:szCs w:val="20"/>
          <w:color w:val="auto"/>
        </w:rPr>
      </w:pPr>
    </w:p>
    <w:p>
      <w:pPr>
        <w:ind w:left="180" w:right="160"/>
        <w:spacing w:after="0" w:line="301" w:lineRule="auto"/>
        <w:rPr>
          <w:sz w:val="20"/>
          <w:szCs w:val="20"/>
          <w:color w:val="auto"/>
        </w:rPr>
      </w:pPr>
      <w:r>
        <w:rPr>
          <w:rFonts w:ascii="Arial" w:cs="Arial" w:eastAsia="Arial" w:hAnsi="Arial"/>
          <w:sz w:val="16"/>
          <w:szCs w:val="16"/>
          <w:b w:val="1"/>
          <w:bCs w:val="1"/>
          <w:i w:val="1"/>
          <w:iCs w:val="1"/>
          <w:color w:val="auto"/>
        </w:rPr>
        <w:t>The successful commercialization of our product candidates in the United States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15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Significant uncertainty exists as to the coverage and reimbursement status of any products for which we may obtain regulatory approval.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 managed care providers, private health insurers, health maintenance organizations and other organizations is essential for most patients to be able to afford medical services and biopharmaceutical products such as our product candidates. Third-party payors decide which medications they will pay for and establish reimbursement levels.</w:t>
      </w: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the United States, the principal decisions about reimbursement for new medicines are typically made by the Centers for Medicare &amp; Medicaid Services, or CMS, an agency within the U.S. Department of Health and Human Services, or HHS. CMS decides whether and to what extent our products will be covered and reimbursed under Medicare and private payors tend to follow CMS to a substantial degree. Factors payors consider in determining reimbursement are based on whether the product is:</w:t>
      </w:r>
    </w:p>
    <w:p>
      <w:pPr>
        <w:spacing w:after="0" w:line="18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Our ability to successfully commercialize our product candidates will depend in part on the extent to which coverage and adequate reimbursement for our products and related treatments will be available from third-party payors. Moreover, a payor’s decision to provide coverage for a product does not imply that an adequate reimbursement rate will be approved.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76"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We cannot be sure that coverage and reimbursement will be available for, or accurately estimate the potential revenue from, our product candidates.</w:t>
      </w:r>
    </w:p>
    <w:p>
      <w:pPr>
        <w:spacing w:after="0" w:line="164"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A decision by a third-party payor not to cover or not to separately reimburse for our medical products or therapies using our products could reduce physician utilization of our products once approved. Assuming there is coverage for our product candidates, or therapies using our product candidates by a third-party payor, the resulting reimbursement payment rates may not be adequate or may require co- payments that patients find unacceptably high. We cannot be sure that coverage and reimbursement in the United States will be available for our current or future product candidates, or for any procedures using such product candidates, and any reimbursement that may become available may not be adequate or may be decreased or eliminated in the future.</w:t>
      </w:r>
    </w:p>
    <w:p>
      <w:pPr>
        <w:spacing w:after="0" w:line="16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 effectiveness of our products, in addition to the costs required to obtain FDA, EMA or other comparable foreign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right="140"/>
        <w:spacing w:after="0" w:line="286" w:lineRule="auto"/>
        <w:rPr>
          <w:sz w:val="20"/>
          <w:szCs w:val="20"/>
          <w:color w:val="auto"/>
        </w:rPr>
      </w:pPr>
      <w:r>
        <w:rPr>
          <w:rFonts w:ascii="Arial" w:cs="Arial" w:eastAsia="Arial" w:hAnsi="Arial"/>
          <w:sz w:val="17"/>
          <w:szCs w:val="17"/>
          <w:b w:val="1"/>
          <w:bCs w:val="1"/>
          <w:i w:val="1"/>
          <w:iCs w:val="1"/>
          <w:color w:val="auto"/>
        </w:rPr>
        <w:t>Our business and commercialization strategy depends on our ability to identify, qualify, prepare, certify, and support third-party clinics or treatment centers offering any of our product candidates, if approved. If we are unable to do so, our commercialization prospects would be limited and our business, financial condition, and results of operations would be harmed.</w:t>
      </w:r>
    </w:p>
    <w:p>
      <w:pPr>
        <w:spacing w:after="0" w:line="16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commercial success with GH001, GH002, GH003 or any future product candidates, if approved, will be dependent upon our ability to identify, qualify, prepare, certify, and support third-party clinics or treatment centers that administer our product candidates. We expect that GH001, GH002, GH003 and any future product candidates will be administered in qualified third-party clinics or treatment centers by certified healthcare providers. Because we intend to work with third-party centers and providers who agree to adhere to our treatment protocols, possibly under an FDA REMS or a Risk Management Program, or RMP, in Europe with restricted distribution methods, we may face limitations on the number of sites available to administer GH001, GH002, GH003 or future product candidates. Moreover, sites may have difficulty satisfying the requirements of any REMS or RMP. Any limitations on the sites available to administer GH001, GH002, GH003 or future product candidates could make it impracticable or impossible for some potential patients to access our product candidates, if approved, which could limit the overall size of our potential patient population and harm our future results of operations.</w:t>
      </w:r>
    </w:p>
    <w:p>
      <w:pPr>
        <w:spacing w:after="0" w:line="165"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If we are unable to establish or collaborate with a sufficient network of third-party clinics or treatment centers certified under applicable standards, including regional, national, state or other applicable standards as needed to administer GH001, GH002, GH003 or any future product candidate, including the certifications that such third-party clinics or treatment centers may require under a potential REMS in the United States or RMP in Europe, it would have a material adverse effect on our business and ability to grow and would adversely affect our results of operations and commercialization efforts.</w:t>
      </w:r>
    </w:p>
    <w:p>
      <w:pPr>
        <w:spacing w:after="0" w:line="157"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Given the novel nature and scheduled drug aspect of our treatment, third-party clinics or treatment centers may face additional financial and administrative burdens in order to deliver any approved therapy, including adhering to a REMS in the United States or an RMP in Europe. The process for a third-party clinic or treatment center to comply with a REMS can be costly and time-consuming, which could delay a third-party clinic or treatment centers’ ability to administer our product candidates and materially adversely affect our commercialization trajectory. Furthermore, third-party clinics or treatment centers will need to ensure that they have the necessary infrastructure and equipment in order to deliver GH001, GH002, GH003 or any future product candidates, such as adequate ancillary equipment and sufficient treatment rooms. This may deter third-party clinics or treatment centers from providing GH001, GH002, GH003 or any future product candidates and reduce our ability to expand our network and generate revenue.</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some foreign countries, the proposed pricing for a drug must be approved before it may be lawfully marketed. Some countries have a separate decision-making process in addition to whether the government or state insurers will reimburse the price for the product. The requirements governing drug pricing vary widely from country to country. For example, in the European Union, member states can restrict the range of medicinal products for which their national health insurance systems provide reimbursement and they can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In the United Kingdom, it instead adopts a system of direct or indirect controls on the profitability of the innovator company placing the medicinal product on the market. Approaches between member states are diverging. For example, in France, effective market access will be supported by agreements with hospitals and products may be reimbursed by the Social Security Fund. The price of medicines is negotiated with the Economic Committee for Health Products, or CEPS. There can be no assurance that any country that has price controls or reimbursement limitations for biopharmaceutical products will allow favorable reimbursement and pricing arrangements for any of our product candidates. Historically, products launched in the European Union do not follow price structures of the United States and generally prices tend to be significantly lower and may be insufficient to generate commercially reasonable revenues and profits.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right="300"/>
        <w:spacing w:after="0" w:line="277" w:lineRule="auto"/>
        <w:rPr>
          <w:sz w:val="20"/>
          <w:szCs w:val="20"/>
          <w:color w:val="auto"/>
        </w:rPr>
      </w:pPr>
      <w:r>
        <w:rPr>
          <w:rFonts w:ascii="Arial" w:cs="Arial" w:eastAsia="Arial" w:hAnsi="Arial"/>
          <w:sz w:val="18"/>
          <w:szCs w:val="18"/>
          <w:b w:val="1"/>
          <w:bCs w:val="1"/>
          <w:i w:val="1"/>
          <w:iCs w:val="1"/>
          <w:color w:val="auto"/>
        </w:rPr>
        <w:t>Even if we obtain approval of any of our product candidates in the United States or Europe, we may never obtain approval or commercialize such products in other countries, which would limit our ability to realize their full market potential.</w:t>
      </w:r>
    </w:p>
    <w:p>
      <w:pPr>
        <w:spacing w:after="0" w:line="17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In order to market any products in the United States or European Union, we must establish and comply with numerous and varying regulatory requirements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outside of where our clinical trials currently have been conducted could result in significant delays, difficulties and costs for us and may require additional nonclinical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172" w:lineRule="exact"/>
        <w:rPr>
          <w:sz w:val="20"/>
          <w:szCs w:val="20"/>
          <w:color w:val="auto"/>
        </w:rPr>
      </w:pPr>
    </w:p>
    <w:p>
      <w:pPr>
        <w:ind w:left="180" w:right="120"/>
        <w:spacing w:after="0" w:line="311" w:lineRule="auto"/>
        <w:rPr>
          <w:sz w:val="20"/>
          <w:szCs w:val="20"/>
          <w:color w:val="auto"/>
        </w:rPr>
      </w:pPr>
      <w:r>
        <w:rPr>
          <w:rFonts w:ascii="Arial" w:cs="Arial" w:eastAsia="Arial" w:hAnsi="Arial"/>
          <w:sz w:val="16"/>
          <w:szCs w:val="16"/>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 candidates, if approved, we may not be able to generate product revenue.</w:t>
      </w:r>
    </w:p>
    <w:p>
      <w:pPr>
        <w:spacing w:after="0" w:line="14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Ongoing Regulatory and Legal Compliance</w:t>
      </w:r>
    </w:p>
    <w:p>
      <w:pPr>
        <w:spacing w:after="0" w:line="229" w:lineRule="exact"/>
        <w:rPr>
          <w:sz w:val="20"/>
          <w:szCs w:val="20"/>
          <w:color w:val="auto"/>
        </w:rPr>
      </w:pPr>
    </w:p>
    <w:p>
      <w:pPr>
        <w:ind w:left="180" w:right="220"/>
        <w:spacing w:after="0" w:line="277" w:lineRule="auto"/>
        <w:rPr>
          <w:sz w:val="20"/>
          <w:szCs w:val="20"/>
          <w:color w:val="auto"/>
        </w:rPr>
      </w:pPr>
      <w:r>
        <w:rPr>
          <w:rFonts w:ascii="Arial" w:cs="Arial" w:eastAsia="Arial" w:hAnsi="Arial"/>
          <w:sz w:val="18"/>
          <w:szCs w:val="18"/>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17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plan to conduct business globally and may file income tax returns in multiple jurisdictions in the future. Our consolidated effective income tax rate could be materially adversely affected by several factors, including: changing tax laws, regulations and treaties, or the interpretation thereof; tax policy initiatives and reforms under consideration (such as those related to the Organization for Economic Co-Operation and Development’s, or OECD, Base Erosion and Profit Shifting, or BEPS, Project, the OECD’s Pillar One and Pillar Two initiatives and other initiatives); the practices of tax authorities in jurisdictions in which we operate; the resolution of issues arising from tax audits or examinations and any related interest or penalties. Such changes may include (but are not limited to) the taxation of operating income, investment income, dividends received or (in the specific context of withholding tax) dividends paid.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balance sheets, and otherwise affect our financial position, future results of operations, cash flows in a particular period and overall our effective tax rates in the future in countries where we have operations, reduce post-tax returns to our shareholders and increase the complexity, burden and cost of tax compliance. On October 7, 2021, the Irish Government approved Ireland’s adherence to the OECD BEPS 2.0 plan, under the OECD Inclusive Framework, to reform international tax rules.</w:t>
      </w:r>
    </w:p>
    <w:p>
      <w:pPr>
        <w:spacing w:after="0" w:line="164" w:lineRule="exact"/>
        <w:rPr>
          <w:sz w:val="20"/>
          <w:szCs w:val="20"/>
          <w:color w:val="auto"/>
        </w:rPr>
      </w:pPr>
    </w:p>
    <w:p>
      <w:pPr>
        <w:ind w:left="180" w:right="54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or may apply existing rules in an unforeseen manner, resulting in unanticipated costs, taxes or non-realization of expected benefits.</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 tax authority may disagree with tax positions that we have taken or will take, which could result in increased tax liabilities. For example, The Office of the Revenue Commissioners of Ireland, or Revenue, or another tax authority could challenge our potential future allocation of income by tax jurisdiction and the amounts paid between potential future affiliated companies pursuant to potential future intercompany arrangements and transfer pricing policies, including amounts to be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Additionally, a tax authority could assert that we are tax resident in a jurisdiction where we believe we are not. A change of tax residency could subject us to a higher tax rate or an exit tax.</w:t>
      </w:r>
    </w:p>
    <w:p>
      <w:pPr>
        <w:spacing w:after="0" w:line="16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 tax authority may take the position that material tax liabilities, interest and penalties are payable by us, for example where there has been a technical violation of contradictory laws and regulations that are relatively new and have not been subject to extensive review or interpretation, in which case we expect that we might contest such assessment. High-profile companies can be particularly vulnerable to aggressive application of unclear requirements. Many companies must negotiate their tax bills with tax inspectors who may demand higher taxes than applicable law appears to provide. Contesting such an assessment may be lengthy and costly and if we were unsuccessful in disputing the assessment, the implications could increase our anticipated effective tax rate, where applicable.</w:t>
      </w:r>
    </w:p>
    <w:p>
      <w:pPr>
        <w:spacing w:after="0" w:line="192"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exercise significant judgment when determining tax filing positions. The tax rules and regulations are very complex and there can be no assurance that management’s interpretation and application of these rules and regulations to determine tax filing positions will be accepted by the tax authorities. If the tax authorities reject a tax filing position taken by the Company, it could have a material adverse effect on our financial position and operating results. There is a risk that the tax authorities could impose additional taxable income or disallow the deductibility of expenses on intercompany transactions resulting in higher tax obligations in one or more tax jurisdictions. Management’s experience has been that the tax authorities can be aggressive in taking positions that would increase taxable income and/or disallow deductible expenses. If the tax authorities are successful in increasing taxable income and/or disallowing deductible expenses in one or more jurisdictions, it could result in the Company experiencing a higher effective tax rate that could be material. Management regularly consults with professional tax advisors when establishing tax filing positions and believes that the tax filing positions taken are in accordance with tax regulations; however, there is always a risk that the tax authorities could disagree with the tax filing positions taken resulting in additional taxes, interest and penalty becoming due and such amount could be material.</w:t>
      </w:r>
    </w:p>
    <w:p>
      <w:pPr>
        <w:spacing w:after="0" w:line="168" w:lineRule="exact"/>
        <w:rPr>
          <w:sz w:val="20"/>
          <w:szCs w:val="20"/>
          <w:color w:val="auto"/>
        </w:rPr>
      </w:pPr>
    </w:p>
    <w:p>
      <w:pPr>
        <w:ind w:left="180" w:right="100"/>
        <w:spacing w:after="0" w:line="277" w:lineRule="auto"/>
        <w:rPr>
          <w:sz w:val="20"/>
          <w:szCs w:val="20"/>
          <w:color w:val="auto"/>
        </w:rPr>
      </w:pPr>
      <w:r>
        <w:rPr>
          <w:rFonts w:ascii="Arial" w:cs="Arial" w:eastAsia="Arial" w:hAnsi="Arial"/>
          <w:sz w:val="18"/>
          <w:szCs w:val="18"/>
          <w:b w:val="1"/>
          <w:bCs w:val="1"/>
          <w:i w:val="1"/>
          <w:iCs w:val="1"/>
          <w:color w:val="auto"/>
        </w:rPr>
        <w:t>We may be unable to use net losses and tax credit carry-forwards and certain built-in losses to reduce future tax payments or benefit from favorable Irish tax legislation.</w:t>
      </w:r>
    </w:p>
    <w:p>
      <w:pPr>
        <w:spacing w:after="0" w:line="170"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As an Irish incorporated and tax resident company, we are subject to Irish corporate taxation on our worldwide profits. Due to the nature of our business, we have generated losses since inception and therefore have not paid any Irish corporation tax. As of December 31, 2021, we had unused net losses of $10 million. Subject to any relevant utilization criteria and restrictions (including those that can restrict the use of carried forward losses where there is a change of ownership of more than half of our ordinary shares and a major change in the nature, conduct or scale of the trade) and subject to the related expenses giving rise to the losses are tax deductible, we expect these to be eligible for carry-forward and utilization against future operating profits.</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As a company that carries out extensive research and development activities, we seek to benefit from the Irish research and development tax credit for certain expenditure on research and development activities, plant and machinery and buildings as set out in the Taxes Consolidation Act 1997 of Ireland and the Taxes Consolidation Act 1997 (Prescribed Research and Development Activities Regulations) 2004. Credit is given at 25% of allowable expenditure subject to satisfying the applicable conditions.</w:t>
      </w:r>
    </w:p>
    <w:p>
      <w:pPr>
        <w:spacing w:after="0" w:line="18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may benefit from Ireland’s Knowledge Development Box regime in the future, under which an eligible company will be entitled to a corporate tax deduction equal to 50% of its qualifying profits. Qualifying profits are profits directly attributable to the exploitation of certain types of IP (patents, copyrighted computer software) that have been developed by the Irish company through qualifying R&amp;D activities undertaken by the Irish company. In effect, such qualifying profits are taxed at 6.25% where the conditions of the regime are met. The availability of the relief is fact dependent and we will consider the applicability of this relief as our activities progress.</w:t>
      </w:r>
    </w:p>
    <w:p>
      <w:pPr>
        <w:spacing w:after="0" w:line="188"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When taken in combination with the research and development tax credit, we expect a long-term rate of Irish corporation tax lower than the statutory rate to apply to us. If, however, there are unexpected adverse changes to the Irish research and development tax credit regime or the Knowledge Development Box regime, or for any reason we are unable to qualify for such regimes, or we are unable to use net losses and tax credit carry-forwards and certain built-in losses to reduce future tax payments then our business, results of operations and financial condition may be adversely affected. This may impact our ongoing requirement for investment and the timeframes within which additional investment is required.</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become subject to U.S. federal and state forfeiture laws which could negatively impact our business operations.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Violations of any U.S. federal laws and regulations could result in significant fines, penalties, administrative sanctions, convictions or settlements arising from civil proceedings conducted by either the federal government or private citizens, or criminal charges, including, but not limited to, seizure of assets, disgorgement of profits, cessation of business activities or divestiture. As an entity that conducts business involving 5-MeO-DMT, we are potentially subject to federal and state forfeiture laws (criminal and civil) that permit the government to seize the proceeds of criminal activity. Civil forfeiture laws could provide an alternative for the federal government or any state (or local police force) that wants to discourage residents from conducting transactions with 5-MeO-DMT- related businesses but believes criminal liability is too difficult to prove beyond a reasonable doubt. Also, an individual can be required to forfeit property considered to be the proceeds of a crime even if the individual is not convicted of the crime, and the standard of proof in a civil forfeiture matter is lower than the standard in a criminal matter. Depending on the applicable law, whether federal or state, rather than having to establish liability beyond a reasonable doubt, the federal government or the state, as applicable, may be required to prove that the money or property at issue is proceeds of a crime only by either clear and convincing evidence or a mere preponderance of the evidence.</w:t>
      </w:r>
    </w:p>
    <w:p>
      <w:pPr>
        <w:spacing w:after="0" w:line="18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Investors located in jurisdictions where 5-MeO-DMT remains illegal may be at risk of prosecution under conspiracy, aiding and abetting, and money laundering statutes, and be at further risk of losing their investments or proceeds under forfeiture statutes. Many jurisdictions remain fully able to take action to prevent the proceeds of 5-MeO-DMT businesses from entering their state. Our investors and prospective investors should be aware of these potentially relevant laws in considering whether to invest in us.</w:t>
      </w:r>
    </w:p>
    <w:p>
      <w:pPr>
        <w:spacing w:after="0" w:line="187" w:lineRule="exact"/>
        <w:rPr>
          <w:sz w:val="20"/>
          <w:szCs w:val="20"/>
          <w:color w:val="auto"/>
        </w:rPr>
      </w:pPr>
    </w:p>
    <w:p>
      <w:pPr>
        <w:ind w:left="180" w:right="80"/>
        <w:spacing w:after="0" w:line="296" w:lineRule="auto"/>
        <w:rPr>
          <w:sz w:val="20"/>
          <w:szCs w:val="20"/>
          <w:color w:val="auto"/>
        </w:rPr>
      </w:pPr>
      <w:r>
        <w:rPr>
          <w:rFonts w:ascii="Arial" w:cs="Arial" w:eastAsia="Arial" w:hAnsi="Arial"/>
          <w:sz w:val="16"/>
          <w:szCs w:val="16"/>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manufacturing GH001, GH002 and GH003 and developing and selling GH001, GH002, GH003 or any future product candidates outside the United States or be required to develop and implement costly compliance programs, which could adversely affect our business, results of operations and financial condition. Our directors and managers might also be subject to criminal penalties, including jail time.</w:t>
      </w:r>
    </w:p>
    <w:p>
      <w:pPr>
        <w:spacing w:after="0" w:line="16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Our operations are subject to anti-corruption laws, including the Criminal Justice (Corruption Offences) Act 2018 of Ireland, or Criminal Justice Act, the U.S. Foreign Corrupt Practices Act, or FCPA, the UK Bribery Act 2010, or UK Bribery Act, and other anti-corruption laws that apply in countries where we do business and may do business in the future. The Criminal Justice Act, FCPA and these other laws generally prohibit us, our officers, and our employees and intermediaries from bribing, being bribed or making other prohibited payments to government officials or other persons to obtain or retain business or gain some other business advantage.</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Criminal Justice Act, the FCPA and these other laws generally prohibit us and our employees and intermediaries from authorizing, promising, offering, or providing, directly or indirectly, a financial or other advantage to government officials or other persons to induce them to improperly perform a relevant function or activity (or reward them for such behavior).</w:t>
      </w:r>
    </w:p>
    <w:p>
      <w:pPr>
        <w:spacing w:after="0" w:line="184"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Under the Criminal Justice Act and under the UK Bribery Act we may also be liable for failing to prevent a person associated with us from committing a bribery offense. We, along with those acting on our behalf and our commercial partners, operate in a number of jurisdictions that pose a high risk of potential Criminal Justice Act or FCPA or UK Bribery Act violations, and we participate in collaborations and relationships with third parties whose corrupt or illegal activities could potentially subject us to liability under the Criminal Justice Act, FCPA, UK Bribery Act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w:t>
      </w:r>
    </w:p>
    <w:p>
      <w:pPr>
        <w:spacing w:after="0" w:line="164" w:lineRule="exact"/>
        <w:rPr>
          <w:sz w:val="20"/>
          <w:szCs w:val="20"/>
          <w:color w:val="auto"/>
        </w:rPr>
      </w:pPr>
    </w:p>
    <w:p>
      <w:pPr>
        <w:jc w:val="both"/>
        <w:ind w:right="540" w:firstLine="324"/>
        <w:spacing w:after="0" w:line="257" w:lineRule="auto"/>
        <w:rPr>
          <w:sz w:val="20"/>
          <w:szCs w:val="20"/>
          <w:color w:val="auto"/>
        </w:rPr>
      </w:pPr>
      <w:r>
        <w:rPr>
          <w:rFonts w:ascii="Arial" w:cs="Arial" w:eastAsia="Arial" w:hAnsi="Arial"/>
          <w:sz w:val="18"/>
          <w:szCs w:val="18"/>
          <w:color w:val="auto"/>
        </w:rPr>
        <w:t>Compliance with the FCPA and the UK Bribery Act in particular, is expensive and difficult, particularly in countries in which corruption is a recognized problem. In addition, the FCPA and the UK Bribery Act present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8"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the future, we may operate in jurisdictions that pose a high risk of potential Criminal Justice Act, FCPA or UK Bribery Act violations, and we may participate in collaborations and relationships with third parties whose actions could potentially subject us to liability under the Criminal Justice Act, FCPA, UK Bribery Act or local anti-corruption laws. In addition, we cannot predict the nature, scope or effect of future regulatory requirements to which our international operations might be subject or the manner in which existing laws might be administered or interpreted. If we expand our operations, we will need to dedicate additional resources to comply with numerous laws and regulations in each jurisdiction in which we plan to operate.</w:t>
      </w:r>
    </w:p>
    <w:p>
      <w:pPr>
        <w:spacing w:after="0" w:line="16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are also subject to other laws and regulations governing our international operations, including regulations administered by the governments of the United Kingdom and the United States, and authorities in member states of the European Union, including applicable export control regulations, economic sanctions on countries and persons, customs requirements and currency exchange regulations (collectively referred to herein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manufacturing GH001, GH002 or GH003 and developing and selling GH001, GH002, GH003 or any future product candidates outside of the United States, which could limit our growth potential and increase our development costs.</w:t>
      </w:r>
    </w:p>
    <w:p>
      <w:pPr>
        <w:spacing w:after="0" w:line="17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There is no assurance that we will be completely effective in ensuring our compliance with all applicable anti-corruption laws, including the Criminal Justice Act, the FCPA, the UK Bribery Act or other legal requirements, including Trade Control laws. If we are not in compliance with the Criminal Justice Act, the FCPA, the UK Bribery Act and other anti-corruption laws or Trade Control laws, we may be subject to criminal and civil penalties, disgorgement and other sanctions and remedial measures, and legal expenses, which would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Criminal Justice Act, the FCPA, other anti-corruption laws or Trade Control laws by Irish, U.S. or other authorities could also have an adverse impact on our reputation, our business, results of operations and financial condition.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right="200"/>
        <w:spacing w:after="0" w:line="263" w:lineRule="auto"/>
        <w:rPr>
          <w:sz w:val="20"/>
          <w:szCs w:val="20"/>
          <w:color w:val="auto"/>
        </w:rPr>
      </w:pPr>
      <w:r>
        <w:rPr>
          <w:rFonts w:ascii="Arial" w:cs="Arial" w:eastAsia="Arial" w:hAnsi="Arial"/>
          <w:sz w:val="18"/>
          <w:szCs w:val="18"/>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8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Although we do not currently have any products on the market, upon commercialization of our product candidates, if approved, we will be subject to additional healthcare statutory and regulatory requirements and oversight by federal and state governments in the United States as well as foreign governments in the jurisdictions in which we conduct our business. Healthcare providers and third-party payors in the United States and elsewhere will play a primary role in the recommendation and prescription of any product candidates for which we obtain marketing approval. Our current and future arrangements with healthcare providers, third-party payors, customers and others may expose us to broadly applicable fraud and abuse and other healthcare laws and regulations.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or financial arrangements.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applicable federal, state and foreign healthcare laws and regulations laws that may affect our ability to operate include, but are not limited to:</w:t>
      </w:r>
    </w:p>
    <w:p>
      <w:pPr>
        <w:spacing w:after="0" w:line="237" w:lineRule="exact"/>
        <w:rPr>
          <w:sz w:val="20"/>
          <w:szCs w:val="20"/>
          <w:color w:val="auto"/>
        </w:rPr>
      </w:pPr>
    </w:p>
    <w:p>
      <w:pPr>
        <w:ind w:left="660" w:right="40" w:hanging="328"/>
        <w:spacing w:after="0" w:line="28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reward, or in return for, either the referral of an individual, or the purchase, lease, order, arrangement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term remuneration has been interpreted broadly to include anything of value. Further, courts have found that if “one purpose” of remuneration is to induce referrals, the federal Anti-Kickback Statute is violated. Violations are subject to significant civil and criminal fines and penalties for each violation, plus up to three times the remuneration involved, imprisonment and exclusion from government healthcare programs. In addition, a claim submitted for payment to any federal healthcare program that includes items or services that were made as a result of a violation of the federal Anti-Kickback Statute constitutes a false or fraudulent claim for purposes of the civil False Claims act, or the FCA. The Anti-Kickback Statute has been interpreted to apply to arrangements between biopharmaceutical manufacturers on the one hand and prescribers, purchasers and formulary managers, among others, on the other. There are a number of statutory exceptions and regulatory safe harbors protecting some common activities from prosecution, but they are drawn narrowly, and practices that involve remuneration intended to induce prescribing, purchasing or recommending may be subject to scrutiny if they do not qualify for an exception or safe harbor;</w:t>
      </w:r>
    </w:p>
    <w:p>
      <w:pPr>
        <w:spacing w:after="0" w:line="170" w:lineRule="exact"/>
        <w:rPr>
          <w:rFonts w:ascii="Arial" w:cs="Arial" w:eastAsia="Arial" w:hAnsi="Arial"/>
          <w:sz w:val="16"/>
          <w:szCs w:val="16"/>
          <w:color w:val="auto"/>
        </w:rPr>
      </w:pPr>
    </w:p>
    <w:p>
      <w:pPr>
        <w:ind w:left="660" w:hanging="328"/>
        <w:spacing w:after="0" w:line="269"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FCA, and civil monetary penalty laws which prohibit, among other things, individuals or entities from knowingly presenting, or causing to be presented, false, fictitious or fraudulent claims for payment to, or approval by Medicare, Medicaid, or other federal healthcare programs; knowingly making, using or causing to be made or used, a false record or statement material to a false, fictitious or fraudulent claim or an obligation to pay or transmit money or property to the federal government; or knowingly concealing or knowingly and improperly avoiding, decreasing or concealing an obligation to pay money to the federal government. A claim that includes items or services resulting from a violation of the federal Anti-Kickback Statute constitutes a false or fraudulent claim under the FCA. Manufacturers can be held liable under the FCA even when they do not submit claims directly to government payors if they are deemed to “cause” the submission of false or fraudulent claims. The FCA also permits a private individual acting as a “whistleblower” to bring qui tam actions on behalf of the federal government alleging violations of the FCA and to share in any monetary recovery or settlement. When an entity is determined to have violated the FCA, the government may impose civil fines and penalties for each false claim, plus treble damages, and exclude the entity from participation in Medicare, Medicaid and other federal healthcare programs;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20" w:hanging="328"/>
        <w:spacing w:after="0" w:line="25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including private third-party payors,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relating to healthcare matters. Similar to the federal Anti-Kickback Statute, a person or entity can be found guilty of violating HIPAA fraud provisions without actual knowledge of the statute or specific intent to violate it;</w:t>
      </w:r>
    </w:p>
    <w:p>
      <w:pPr>
        <w:spacing w:after="0" w:line="196" w:lineRule="exact"/>
        <w:rPr>
          <w:rFonts w:ascii="Arial" w:cs="Arial" w:eastAsia="Arial" w:hAnsi="Arial"/>
          <w:sz w:val="18"/>
          <w:szCs w:val="18"/>
          <w:color w:val="auto"/>
        </w:rPr>
      </w:pPr>
    </w:p>
    <w:p>
      <w:pPr>
        <w:ind w:left="660" w:right="20" w:hanging="328"/>
        <w:spacing w:after="0" w:line="288"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respective implementing regulations, which impose, among other things, certain requirements relating to the privacy, security and transmission of individually identifiable health information on certain covered healthcare providers, health plans and healthcare clearinghouses, known as covered entities, as well as their respective “business associates,” those independent contractors or agents of covered entities that create, receive, maintain, transmit or obtain protected health information in connection with providing a service on behalf of a covered entity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168" w:lineRule="exact"/>
        <w:rPr>
          <w:rFonts w:ascii="Arial" w:cs="Arial" w:eastAsia="Arial" w:hAnsi="Arial"/>
          <w:sz w:val="16"/>
          <w:szCs w:val="16"/>
          <w:color w:val="auto"/>
        </w:rPr>
      </w:pPr>
    </w:p>
    <w:p>
      <w:pPr>
        <w:ind w:left="660" w:hanging="328"/>
        <w:spacing w:after="0" w:line="290"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federal Physician Payments Sunshine Act, created under the Patient Protection and Affordable Care Act, as amended by the Health Care and Education Reconciliation Act of 2010, or, collectively, the ACA, and its implementing regulations, which require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made to physicians (defined to include doctors, dentists, optometrists, podiatrists and chiropractors) and teaching hospitals, as well as ownership and investment interests held by the physicians and their immediate family members. Effective January 1, 2022, these reporting obligations now extend to include transfers of value made in the previous year to certain non-physician providers including physician assistants, nurse practitioners, clinical nurse specialists, anesthesiologist assistants, certified registered nurse anesthetists and certified nurse midwives;</w:t>
      </w:r>
    </w:p>
    <w:p>
      <w:pPr>
        <w:spacing w:after="0" w:line="165" w:lineRule="exact"/>
        <w:rPr>
          <w:rFonts w:ascii="Arial" w:cs="Arial" w:eastAsia="Arial" w:hAnsi="Arial"/>
          <w:sz w:val="16"/>
          <w:szCs w:val="16"/>
          <w:color w:val="auto"/>
        </w:rPr>
      </w:pPr>
    </w:p>
    <w:p>
      <w:pPr>
        <w:ind w:left="660" w:right="58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70" w:lineRule="exact"/>
        <w:rPr>
          <w:rFonts w:ascii="Arial" w:cs="Arial" w:eastAsia="Arial" w:hAnsi="Arial"/>
          <w:sz w:val="18"/>
          <w:szCs w:val="18"/>
          <w:color w:val="auto"/>
        </w:rPr>
      </w:pPr>
    </w:p>
    <w:p>
      <w:pPr>
        <w:ind w:left="660" w:right="80" w:hanging="328"/>
        <w:spacing w:after="0" w:line="269"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analogous U.S. state, local and foreign laws and regulations, such as state anti-kickback and false claims laws, which may apply to sales or marketing arrangements and claims involving healthcare items or services reimbursed by any third-party payor, including private insurers, and may be broader in scope than their federal equivalents; state and foreign laws that require biopharmaceutical companies to comply with the biopharmaceutical industry’s voluntary compliance guidelines and other relevant compliance guidance promulgated by the federal government or otherwise restrict payments that may be made to healthcare providers and other potential referral sources; state and foreign laws that require drug manufacturers to report information related to payments and other transfers of value to physicians and other healthcare providers, marketing expenditures or drug pricing; state and local laws that require the registration of biopharmaceutical sales representatives; and state and foreign laws governing the privacy and security of health and other personal information, some of which may be more stringent than those in the United States (such as the European Union’s General Data Protection Regulation, or GDPR, which became effective in May 2018, or the United Kingdom’s General Data Protection Regulation, or UK GDPR) in certain circumstances, and may differ from each other in significant ways and often are not preempted by HIPAA, thus complicating compliance efforts.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distribution of biopharmaceutical products is subject to additional requirements and regulations, including extensive record keeping, licensing, storage and security requirements intended to prevent the unauthorized sale of biopharmaceutical products.</w:t>
      </w:r>
    </w:p>
    <w:p>
      <w:pPr>
        <w:spacing w:after="0" w:line="170"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If the FDA, EMA or a comparable foreign regulatory authority approves any of our product candidates, we will be subject to an expanded number of these laws and regulations and will need to expend resources to develop and implement policies and processes to promote ongoing compliance. The scope and enforcement of each of these laws is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and can divert a company’s attention from the business.</w:t>
      </w:r>
    </w:p>
    <w:p>
      <w:pPr>
        <w:spacing w:after="0" w:line="161"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It is possible that governmental and enforcement authorities will conclude that our business practices, including our arrangements with physicians and other healthcare providers, some of whom may receive stock options as compensation for services provided, may not comply with current or future statutes, regulations or case law interpreting applicable fraud and abuse or other healthcare laws and regulations. If our operations are found to be in violation of any of the laws described above or any other government regulations that apply to us, we may be subject to significant sanctions, including civil, criminal and administrative penalties, damages, fines, disgorgement, imprisonment, reputational harm,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are found to be not in compliance with applicable laws, they may be subject to similar penalties. Any action for violation of these laws, even if successfully defended, could cause us to incur significant legal expenses and divert management’s attention from the operation of the business. In addition, the approval and commercialization of any product candidate we develop outside the United States will also likely subject us to foreign equivalents of the healthcare laws mentioned above, among other foreign laws. All of these could harm our ability to operate our business and our financial results.</w:t>
      </w:r>
    </w:p>
    <w:p>
      <w:pPr>
        <w:spacing w:after="0" w:line="16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188" w:lineRule="exact"/>
        <w:rPr>
          <w:sz w:val="20"/>
          <w:szCs w:val="20"/>
          <w:color w:val="auto"/>
        </w:rPr>
      </w:pPr>
    </w:p>
    <w:p>
      <w:pPr>
        <w:ind w:left="180" w:right="420"/>
        <w:spacing w:after="0" w:line="263" w:lineRule="auto"/>
        <w:rPr>
          <w:sz w:val="20"/>
          <w:szCs w:val="20"/>
          <w:color w:val="auto"/>
        </w:rPr>
      </w:pPr>
      <w:r>
        <w:rPr>
          <w:rFonts w:ascii="Arial" w:cs="Arial" w:eastAsia="Arial" w:hAnsi="Arial"/>
          <w:sz w:val="18"/>
          <w:szCs w:val="18"/>
          <w:b w:val="1"/>
          <w:bCs w:val="1"/>
          <w:i w:val="1"/>
          <w:iCs w:val="1"/>
          <w:color w:val="auto"/>
        </w:rPr>
        <w:t>Our actual or perceived failure to comply with applicable health information and data protection laws and regulations, standards and other requirements could lead to governmental enforcement actions, including civil or criminal penalties, private litigation, and adverse publicity and could negatively affect our operating results and business.</w:t>
      </w:r>
    </w:p>
    <w:p>
      <w:pPr>
        <w:spacing w:after="0" w:line="18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and any potential collaborators may be subject to U.S. and foreign federal, state and local laws and regulations that address privacy and data security. In the United States, numerous federal and state laws and regulations, including state data breach notification laws, state health and personal information privacy laws, and federal and state consumer protection laws, govern the collection, use, processing, storage, transmission, disclosure, destruction and protection of health-related and other personal information. In addition, we may obtain health information from third parties, including research institutions from which we obtain clinical trial data, which are subject to privacy and security requirements under HIPAA, as amended by HITECH. To the extent that we act as a business associate we may also be subject to the privacy and security provisions of HIPAA, as amended by HITECH, which restricts the use and disclosure of patient-identifiable health information, mandates the adoption of certain standards relating to the privacy and security of patient-identifiable health information, and requires the reporting of certain security breaches to healthcare provider customers with respect to such information. Additionally, many states have enacted similar laws that may impose more stringent requirements on entities like ours. Depending on the facts and circumstances, we could be subject to significant civil, criminal, and administrative penalties if we obtain, use, or disclose individually identifiable health information maintained by a HIPAA-covered entity in a manner that is not authorized or permitted by HIPAA.</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Additionally, in June 2018, the State of California enacted the California Consumer Privacy Act of 2018, or CCPA, which came into effect on January 1, 2020 and provides new data privacy rights for California consumers (as that term is defined in the legislation) and new operational requirements for companies that process information of California residents,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and statutory damages for data breaches that is expected to increase data breach litigation. While there is currently an exception under the CCPA for protected health information that is subject to HIPAA and clinical trial regulations, as currently written, the CCPA may nevertheless impact certain of our business activities depending on how the CCPA will be interpreted, and exemplifies the vulnerability of our business to the evolving regulatory environment related to personal information. In addition, California voters recently approved the California Privacy Rights Act of 2020, or CPRA, which goes into effect on January 1, 2023. Unless amended, the CPRA will impose additional obligations on companies covered by the legislation and significantly modify the CCPA, including by expanding consumers’ rights with respect to certain sensitive personal information. The CPRA also creates a new state agency that will be vested with authority to implement and enforce the CCPA and CPRA. Some observers have noted that the CCPA and CPRA could mark the beginning of a trend toward more stringent state privacy legislation in the United States, which could increase our potential liability and adversely affect our business. Other states and the U.S. federal government are considering comprehensive privacy laws, and on March 2, 2021, the Virginia Consumer Data Protection Act, or CDPA, was signed into law. The CDPA becomes effective January 1, 2023 and contains provisions that require businesses subject to the legislation to conduct data protection assessments in certain circumstances and that require opt-in consent from Virginia consumers to process certain sensitive personal information.</w:t>
      </w:r>
    </w:p>
    <w:p>
      <w:pPr>
        <w:spacing w:after="0" w:line="19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collection, use, storage, disclosure, transfer, or other processing of personal data (including health data processed in the context of clinical trials) regarding EU data subjects in the European Economic Area, or EEA, and/or carried out in the context of the activities of our establishment in any EEA member state, is subject to the GDPR, which became effective on May 25, 2018.</w:t>
      </w:r>
    </w:p>
    <w:p>
      <w:pPr>
        <w:spacing w:after="0" w:line="18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GDPR is wide-ranging in scope and imposes numerous additional requirements on companies that process personal data of individuals residing in Europe, including imposing special requirements in respect of the processing of health and other sensitive data, requiring that consent of individuals to whom the personal data relates is obtained in certain circumstances, requiring additional disclosures to individuals regarding data processing activities, requiring that appropriate safeguards are implemented to protect the security and confidentiality of personal data, creating mandatory data breach notification requirements in certain circumstances, and requiring that certain measures (including contractual requirements) are put in place when engaging third-party data processors. The GDPR permits data protection authorities to impose large penalties for violations of the GDPR, including potential fines of up to €20 million or 4% of annual global revenue, whichever is greater, and up to the greater of GBP 17.5 million or 4% of annual global revenue in the case of noncompliance with the UK GDPR. The GDPR and the UK GDPR also provide individuals with various rights in respect of their personal data, including rights of access, erasure, portability, rectification, restriction and objection, and confer a private right of action on data subjects and consumer associations to lodge complaints with supervisory authorities, seek judicial remedies, and obtain compensation for damages resulting from violations of the GDPR and UK GDPR. The GDPR and UK GDPR requirements apply not only to third-party transactions, but also to transfers of information between us and our subsidiaries, including employee information.</w:t>
      </w:r>
    </w:p>
    <w:p>
      <w:pPr>
        <w:spacing w:after="0" w:line="17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GDPR and the Irish Data Protection Act 2018 also impose strict rules on the transfer of personal data to countries outside the European Economic Area, including the United States, unless the parties to the transfer have implemented safeguards to protect the transferred personal information. The Court of Justice of the European Union, or CJEU, recently raised questions about whether the European Commission’s Standard Contractual Clauses, one of the primary mechanisms used by companies to import personal information from Europe, complies with the GDPR. While the CJEU upheld the validity of the Standard Contractual Clauses, the CJEU ruled that the underlying data transfers must be assessed on a case-by-case basis by the data controller to determine whether the personal information will be adequately protected. Further, the European Commission recently proposed updates to the Standard Contractual Clauses. At present, there are few if any viable alternatives to the Standard Contractual Clauses and there is uncertainty regarding how to ensure that transfers of personal information from Europe to the United States might be adequately protected so as to comply with the GDPR. As such, any transfers by us, or our vendors, of personal information from Europe may not comply with European data protection laws and may increase our exposure to the GDPR’s heightened sanctions for violations of its cross-border data transfer restrictions. Loss of our ability to transfer personal information from the European Economic Area may also require us to increase our data processing capabilities in those jurisdictions at significant expense.</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Further, the United Kingdom’s withdrawal from the European Union and European Economic Area on January 31, 2020 has created uncertainty with regard to data protection regulation in the United Kingdom. As of December 31, 2021, we are also subject to the UK GDPR and UK Data Protection Act of 2018, which retains the EU GDPR in the United Kingdom’s national law. In particular, the collection, use, storage, disclosure, transfer, or other processing of personal data (including health data processed in the context of clinical trials) regarding data subjects in the United Kingdom and/or carried out in the context of the activities of our establishment in the United Kingdom is subject to the UK GDPR and the UK Data Protection Act of 2018. With respect to transfers of personal data from the European Economic Area, on June 28, 2021, the European Commission issued an adequacy decision in respect of the United Kingdom’s data protection framework, enabling data transfers from EU member states to the United Kingdom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 Other countries have also passed or are considering passing laws requiring local data residency or restricting the international transfer of data.</w:t>
      </w:r>
    </w:p>
    <w:p>
      <w:pPr>
        <w:spacing w:after="0" w:line="182"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addition, Europe and other foreign jurisdictions have enacted laws, regulations, standards and common practices that relate to the privacy of clinical trial data, including as a condition to approve clinical trials. These requirements are evolving and uncertain and they may result in delays to our ability to launch clinical trials or limit the jurisdictions in which we may conduct clinical trials.</w:t>
      </w:r>
    </w:p>
    <w:p>
      <w:pPr>
        <w:spacing w:after="0" w:line="184"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The GDPR and UK GDPR may increase our responsibility and liability in relation to personal data that we process where such processing is subject to the GDPR and the UK GDPR. While we have taken steps to comply with the GDPR and UK GDPR and implementing legislation in applicable EEA member states, including by seeking to establish appropriate lawful bases for the various processing activities we carry out as a controller or joint controller, reviewing our security procedures and those of our vendors and collaborators, and entering into data processing agreements with relevant vendors and collaborators, we cannot be certain that our efforts to achieve and remain in compliance have been, and/or will continue to be, fully successful.</w:t>
      </w:r>
    </w:p>
    <w:p>
      <w:pPr>
        <w:spacing w:after="0" w:line="16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regulatory framework for data privacy and security issues in the United States and abroad is rapidly evolving and likely to remain uncertain for the foreseeable future. Compliance with applicable privacy and data protection laws and regulations is a rigorous and time-intensive process and could require us to take on more onerous obligations in our contracts, restrict our ability to collect, use and disclose certain data, or in some cases, impact our ability to operate in certain jurisdictions. Despite our efforts to bring our practices into compliance with these laws and regulations, we may not be successful in our efforts to achieve compliance due to internal or external factors, such as resource allocation limitations or a lack of vendor cooperation. In addition, because the interpretation and application of privacy and data protection laws are still uncertain, it is possible that these laws and other actual or alleged legal obligations, such as contractual or self-regulatory obligations, may be interpreted and applied in a manner inconsistent with our data management practices. Our failure or perceived failure to comply with these laws, regulations and obligations could result in government investigations, proceedings and enforcement actions (which could include civil, criminal and administrative penalties), public statements against us by government entities, private parties, consumer advocacy groups or others, private litigation, contractual penalties, monetary damages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Ongoing healthcare legislative and regulatory reform measures may have a material adverse effect on our business and results of operations.</w:t>
      </w:r>
    </w:p>
    <w:p>
      <w:pPr>
        <w:spacing w:after="0" w:line="248"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Changes in U.S. and foreign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 keeping requirements. If any such changes were to be imposed, they could adversely affect the operation of our business.</w:t>
      </w:r>
    </w:p>
    <w:p>
      <w:pPr>
        <w:spacing w:after="0" w:line="14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the United States and in some foreign jurisdictions, there have been, and likely will continue to be, a number of legislative initiatives and regulatory changes regarding the healthcare system directed at broadening the availability of healthcare, improving the quality of healthcare, and containing or lowering the cost of healthcare. For example, in March 2010, the ACA was enacted, which substantially changed the way healthcare is financed by both governmental and private insurers, and significantly impacted the U.S. biopharmaceutical industry. The ACA, among other things, subjects biological products to potential competition by lower-cost biosimilars, expands the types of entities eligible for the 340B drug discount program; introduced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(increased to 70%) point-of-sale discounts off negotiated prices of applicable brand drugs to eligible beneficiaries during their coverage gap period, as a condition for the manufacturer’s outpatient drugs to be covered under Medicare Part D.</w:t>
      </w:r>
    </w:p>
    <w:p>
      <w:pPr>
        <w:spacing w:after="0" w:line="18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The Trump Administration issued several executive orders which eliminated cost sharing subsidies and various provisions that would impose a fiscal burden on states or a cost, fee, tax, penalty or regulatory burden on individuals, healthcare providers, health insurers or manufacturers of pharmaceuticals or medical devices; and Congress considered several pieces of legislation aimed at significantly revising or repealing the ACA. While Congress has not passed comprehensive repeal legislation, several bills affecting the implementation of certain taxes under the ACA have passed. On June 17, 2021, the U.S. Supreme Court dismissed a challenge on procedural grounds that argued that the ACA is unconstitutional in its entirety because the individual mandate was repealed by Congress. Thus, the ACA will remain in effect in its current form. Further, prior to the U.S. Supreme Court ruling, on January 28, 2021, President Biden issued an executive order to initiate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additional challenges. It is unclear how any such challenges and the healthcare reform measures of the Biden administration will impact the ACA and our business.</w:t>
      </w:r>
    </w:p>
    <w:p>
      <w:pPr>
        <w:spacing w:after="0" w:line="186"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including aggregate reductions of Medicare payments to providers of up to 2% per fiscal year. These reductions went into effect on April 1, 2013 and, due to subsequent legislative amendments to the statute, will remain in effect through 2030, unless additional Congressional action is taken. However, pursuant to Congressional action, these Medicare sequester reductions were suspended through December 31, 2021 due to the COVID-19 pandemic. On January 2, 2013, the American Taxpayer Relief Act of 2012 was signed into law, which, among other things, further reduced Medicare payments to several types of providers, including hospitals and cancer treatment centers, and increased the statute of limitations period for the government to recover overpayments to providers from three to five years. Additionally, the Bipartisan Budget Act of 2018, among other things, amended the ACA, effective January 1, 2019, by increasing the point-of-sale discount (from 50% under the ACA to 70%) that is owed by pharmaceutical manufacturers who participate in Medicare Part D and closing the coverage gap in most Medicare drug plans, commonly referred to as the “donut hole.” It is also possible that additional governmental action is taken in response to the COVID-19 pandemic.</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324"/>
        <w:spacing w:after="0" w:line="267" w:lineRule="auto"/>
        <w:rPr>
          <w:sz w:val="20"/>
          <w:szCs w:val="20"/>
          <w:color w:val="auto"/>
        </w:rPr>
      </w:pPr>
      <w:r>
        <w:rPr>
          <w:rFonts w:ascii="Arial" w:cs="Arial" w:eastAsia="Arial" w:hAnsi="Arial"/>
          <w:sz w:val="17"/>
          <w:szCs w:val="17"/>
          <w:color w:val="auto"/>
        </w:rPr>
        <w:t>Moreover, payment methodologies may be subject to changes in healthcare legislation and regulatory initiatives. For example, CMS may develop new payment and delivery models, such as bundled payment models. Recently, there has been heightened governmental scrutiny over the manner in which manufacturers set prices for their products. Such scrutiny has resulted in several recent U.S. presidential executive orders,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the Trump administration used several means to propose or implement drug pricing reform, including through federal budget proposals, executive orders and policy initiatives. On September 9, 2021, the Biden Administration published a wide-ranging list of policy proposals, most of which would need to be carried out by Congress, to reduce drug prices and drug payment. The HHS plan includes, among other reform measures, proposals to (i) give Medicare authority to directly negotiate drug prices with manufacturers, (ii) authorize HHS to negotiate Medicaid supplemental rebates on behalf of states, (iii) allow employer-based, ACA marketplace and commercial health insurance plans to access Medicare negotiated drug prices, (iv) place a cap on out-of-pocket costs for Medicare Part D beneficiaries and redistribute a higher proportion of drug costs to Part D and manufacturers, (v) mandate purchase of the least costly-alternative and to institute value-based or outcomes-based pricing arrangements, (vi) disincentivize drug price increases, (vii) facilitate approval and prescription of biosimilar and generic drugs, (viii) increase drug pricing transparency, (ix) prohibit certain types of rebates to pharmacy benefit managers, and (x) develop drug pricing models by tying price to outcomes. Many similar proposals, including the plans to give Medicare authority to negotiate drug prices and cap out-of-pocket costs, have already been included in policy statements and legislation currently being considered by Congress. It is unclear to what extent new statutory, regulatory, and administrative initiatives will be enacted and implemented.</w:t>
      </w:r>
    </w:p>
    <w:p>
      <w:pPr>
        <w:spacing w:after="0" w:line="19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At the state level in the United States, legislatures are increasingly passing legislation and implementing regulations designed to control 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 pricing.</w:t>
      </w:r>
    </w:p>
    <w:p>
      <w:pPr>
        <w:spacing w:after="0" w:line="1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 restrict or regulate post-approval activities and affect our ability to commercialize any products for which we obtain marketing approval. In international markets, reimbursement and healthcare payment systems vary significantly by country, and many countries have instituted price ceilings on specific products and therapies.</w:t>
      </w:r>
    </w:p>
    <w:p>
      <w:pPr>
        <w:spacing w:after="0" w:line="182"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Legislation changes may also affect the legal requirements under which we perform our technical, nonclinical and clinical development of our product candidates and the medical devices required to deliver such product candidates, and they may affect how the FDA, EMA and comparable foreign regulatory agencies review and approve new drug products, drug-device combination products or medical devices. For example, on April 5, 2017, the European Parliament passed the MDR, which repeals and replaces the EU Medical Devices Directive and the Active Implantable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MDR, among other things, is intended to establish a uniform, transparent, predictable and sustainable regulatory framework across the European Economic Area for medical devices and ensure a high level of safety and health while supporting innovation.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MDR became fully applicable on May 26, 2021, after a three-year transition period. The new regulation, among other things:</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strengthens the rules on placing medical devices on the market and reinforce surveillance once they are available;</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establishes explicit provisions on manufacturers’ responsibilities for the follow-up of the quality, performance and safety of medical devices placed on the market;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improves the traceability of medical devices throughout the supply chain to the end-user or patient through a unique identification number;</w:t>
      </w:r>
    </w:p>
    <w:p>
      <w:pPr>
        <w:spacing w:after="0" w:line="236"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sets up a central database to provide patients, healthcare professionals and the public with comprehensive information on products available in the European Union; and</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strengthens rules for the assessment of certain high-risk medical devices, such as implants, which may have to undergo an additional check by experts before they are placed on the market.</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These modifications may have a significant effect on the way we can develop our product candidates and the medical devices required to deliver such product candidates, and may delay our development significantly.</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the United Kingdom, medical devices will continue to be regulated by laws equivalent to the EU directives and the government is consulting on new laws which are planned to take effect from the end of December 2022. These new laws will impose an additional regulatory burden for any products we intend to market in Great Britain, as Northern Ireland will remain subject to EU law.</w:t>
      </w:r>
    </w:p>
    <w:p>
      <w:pPr>
        <w:spacing w:after="0" w:line="184"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In addition, the European Union has adopted the Clinical Trials Regulation, or Regulation 536/2014, or CTR, in April 2014, which became applicable on January 31, 2022. The CTR is directly applicable in all the EU member states, and repeals the Clinical Trials Directive. The CTR outlines a transitional timeline:</w:t>
      </w:r>
    </w:p>
    <w:p>
      <w:pPr>
        <w:spacing w:after="0" w:line="184" w:lineRule="exact"/>
        <w:rPr>
          <w:sz w:val="20"/>
          <w:szCs w:val="20"/>
          <w:color w:val="auto"/>
        </w:rPr>
      </w:pPr>
    </w:p>
    <w:p>
      <w:pPr>
        <w:ind w:left="660" w:right="1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the period beginning on January 31, 2022 and ending on January 31, 2023, all clinical trial applications can be made either under the Clinical Trials Directive or under the CTR;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from January 31, 2023, all initial clinical trial applications are required to be submitted under the CTR alone;</w:t>
      </w:r>
    </w:p>
    <w:p>
      <w:pPr>
        <w:spacing w:after="0" w:line="225" w:lineRule="exact"/>
        <w:rPr>
          <w:rFonts w:ascii="Arial" w:cs="Arial" w:eastAsia="Arial" w:hAnsi="Arial"/>
          <w:sz w:val="18"/>
          <w:szCs w:val="18"/>
          <w:color w:val="auto"/>
        </w:rPr>
      </w:pPr>
    </w:p>
    <w:p>
      <w:pPr>
        <w:ind w:left="660" w:right="220" w:hanging="328"/>
        <w:spacing w:after="0" w:line="275"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from January 31, 2023 to January 31, 2025, ongoing clinical trials authorized under the Clinical Trials Directive can remain under the Clinical Trials Directive or can transition to the CTR. However, no new national clinical trial applications can be submitted under the Clinical Trials Directive 2001/20/EC after January 31, 2023. Consequently, if the sponsor has chosen to submit the clinical trial application under the Clinical Trials Directive during the one-year transition period ending on January 31, 2023, a new EU member state can only be added to the clinical trial after January 31, 2023 once the entire clinical trial has been transferred to CTIS; and</w:t>
      </w:r>
    </w:p>
    <w:p>
      <w:pPr>
        <w:spacing w:after="0" w:line="176"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by January 31, 2025, all ongoing clinical trials will be required to have transitioned to the CTR.</w:t>
      </w:r>
    </w:p>
    <w:p>
      <w:pPr>
        <w:spacing w:after="0" w:line="22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CTR harmonizes the assessment and supervision processes for clinical trials throughout the European Union via a Clinical Trials Information System, which will notably contain a centralized EU portal and database.</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or in any other jurisdictions.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7" w:lineRule="exact"/>
        <w:rPr>
          <w:sz w:val="20"/>
          <w:szCs w:val="20"/>
          <w:color w:val="auto"/>
        </w:rPr>
      </w:pPr>
    </w:p>
    <w:p>
      <w:pPr>
        <w:jc w:val="both"/>
        <w:ind w:left="180" w:right="60"/>
        <w:spacing w:after="0" w:line="340" w:lineRule="auto"/>
        <w:rPr>
          <w:sz w:val="20"/>
          <w:szCs w:val="20"/>
          <w:color w:val="auto"/>
        </w:rPr>
      </w:pPr>
      <w:r>
        <w:rPr>
          <w:rFonts w:ascii="Arial" w:cs="Arial" w:eastAsia="Arial" w:hAnsi="Arial"/>
          <w:sz w:val="15"/>
          <w:szCs w:val="15"/>
          <w:b w:val="1"/>
          <w:bCs w:val="1"/>
          <w:i w:val="1"/>
          <w:iCs w:val="1"/>
          <w:color w:val="auto"/>
        </w:rPr>
        <w:t>In the United States, 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3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or approved by necessary government agencies, which would adversely affect our business. For example, over the last several years, the U.S. federal government has shut down several times and certain regulatory agencies, such as the FDA have had to furlough critical employees and stop critical activities. Separately, in response to the COVID-19 pandemic, on March 10, 2020, the FDA announced its intention to temporarily postpone most inspections of foreign manufacturing facilities along with routine surveillance inspections of domestic manufacturing facilities. On July 10, 2020, the FDA announced its goal of restarting domestic onsite inspections during the week of July 20, 2020, but such activities would depend on data about the virus’ trajectory in a given state and locality and the rules and guidelines that are put in place by state and local governments. The FDA has developed a rating system to assist in determining when and where it is safest to conduct prioritized domestic inspections. In April 2020, the FDA stated that its New Drug Program was continuing to meet program user fee performance goals, but due to many agency staff working on COVID-19 activities, it was possible that the FDA would not be able to sustain that level of performance indefinitely. Regulatory authorities outside the United States may adopt similar restrictions or other policy measures in response to the COVID-19 pandemic and may experience delays in their regulatory activities.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182" w:lineRule="exact"/>
        <w:rPr>
          <w:sz w:val="20"/>
          <w:szCs w:val="20"/>
          <w:color w:val="auto"/>
        </w:rPr>
      </w:pPr>
    </w:p>
    <w:p>
      <w:pPr>
        <w:ind w:left="180" w:right="760"/>
        <w:spacing w:after="0" w:line="277" w:lineRule="auto"/>
        <w:rPr>
          <w:sz w:val="20"/>
          <w:szCs w:val="20"/>
          <w:color w:val="auto"/>
        </w:rPr>
      </w:pPr>
      <w:r>
        <w:rPr>
          <w:rFonts w:ascii="Arial" w:cs="Arial" w:eastAsia="Arial" w:hAnsi="Arial"/>
          <w:sz w:val="18"/>
          <w:szCs w:val="18"/>
          <w:b w:val="1"/>
          <w:bCs w:val="1"/>
          <w:i w:val="1"/>
          <w:iCs w:val="1"/>
          <w:color w:val="auto"/>
        </w:rPr>
        <w:t>EU drug marketing and reimbursement regulations may materially affect our ability to market and receive coverage for our products in the European member states.</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ultimately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European Union,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spacing w:after="0" w:line="19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 member states, and in respect of the United Kingdom (which is no longer a member of the European Union), the UK Bribery Act of 2010. Infringement of these laws could result in substantial fines and imprisonment.</w:t>
      </w:r>
    </w:p>
    <w:p>
      <w:pPr>
        <w:spacing w:after="0" w:line="18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88"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In addition, in most foreign countries, including those in the European Union, the United Kingdom and the European Economic Area,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 effectiveness of any of our product candidates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any of our products.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180" w:right="260"/>
        <w:spacing w:after="0" w:line="263"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United Kingdom from the European Union may be a source of instability in international markets, create significant currency fluctuations, adversely affect our operations in the United Kingdom and pose additional risks to our business, revenue, financial condition, and results of operations.</w:t>
      </w:r>
    </w:p>
    <w:p>
      <w:pPr>
        <w:spacing w:after="0" w:line="18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On June 23, 2016, the United Kingdom held a referendum in which a majority of the eligible members of the electorate voted to leave the European Union, commonly referred to as Brexit. Pursuant to Article 50 of the Treaty on European Union, the United Kingdom ceased being a member state of the European Union on January 31, 2020. The implementation period began February 1, 2020 and continued until December 31, 2020, during which the United Kingdom continued to follow all of the European Union’s rules, the European Union’s pharmaceutical law remained applicable to the United Kingdom and the United Kingdom’s trading relationship remained the same. The United Kingdom and the European Union have signed an EU-UK Trade and Cooperation Agreement, or TCA, which entered into force on May 1, 2021. This agreement provides details on how some aspects of the United Kingdom and European Union’s relationship will operate going forward, however there are still many uncertainties and how the TCA will take effect in practice is still largely unknown. The current lack of clarity with future UK laws and regulations and their interaction with the EU laws and regulations may negatively impact foreign direct investment in the United Kingdom, increase costs, depress economic activity and restrict access to capital.</w:t>
      </w:r>
    </w:p>
    <w:p>
      <w:pPr>
        <w:spacing w:after="0" w:line="166"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The uncertainty concerning the United Kingdom’s legal, political and economic relationship with the European Union after Brexit may be a source of instability in the international markets, create significant currency fluctuations, and/or otherwise adversely affect trading agreements or similar cross-border co-operation arrangements (whether economic, tax, fiscal, legal, regulatory or otherwise) beyond the date of Brexit.</w:t>
      </w:r>
    </w:p>
    <w:p>
      <w:pPr>
        <w:spacing w:after="0" w:line="16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These developments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if other EU member states pursue withdrawal, barrier-free access in the European Economic Area could be diminished or eliminated. The long-term effects of Brexit will depend on how the terms of the TCA take effect in practice and any further agreements (or lack thereof) between the United Kingdom and the European Union.</w:t>
      </w:r>
    </w:p>
    <w:p>
      <w:pPr>
        <w:spacing w:after="0" w:line="184"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Such a withdrawal from the European Union is unprecedented, and it is unclear how the restrictions on the United Kingdom’s access to the European single market for goods, capital, services and labor within the European Union, or single market, and the wider commercial, legal and regulatory environment, could impact our current and future operations (including business activities conducted by third parties and contract manufacturers on our behalf) and clinical activities in the United Kingdom. In addition to the foregoing, our UK operations support our current and future operations and clinical activities in the European Union and European Economic Area, and these operations and clinical activities could be disrupted by Brexit.</w:t>
      </w:r>
    </w:p>
    <w:p>
      <w:pPr>
        <w:spacing w:after="0" w:line="16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may also face new regulatory costs and challenges that could have an adverse effect on our operations. Subject to the terms of future agreements or arrangements, the United Kingdom has lost the benefits of global trade agreements negotiated by the European Union on behalf of its members, which may result in increased trade barriers that could make our doing business in the United Kingdom more difficult. Since the regulatory framework in the United Kingdom covering quality, safety and efficacy of pharmaceutical products, clinical trials, marketing authorization, commercial sales and distribution of pharmaceutical products is still derived from EU directives and regulations, Brexit could materially impact the future regulatory regime with respect to the approval of our product candidates in the United Kingdom now that the UK legislation can diverge from EU legislation.</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For instance, Great Britain is no longer covered by the centralized procedures for obtaining EEA-wide marketing and manufacturing authorizations from the EMA (under the Northern Irish Protocol, centralized marketing authorizations will continue to be recognized in Northern Ireland) and a separate process for authorization of drug products is required in Great Britain, resulting in an authorization covering the United Kingdom or Great Britain only. Any delay in obtaining, or an inability to obtain, any regulatory approvals, as a result of Brexit or otherwise, would prevent us from commercializing our product candidates in the United Kingdom and restrict our ability to generate revenue and achieve and sustain profitability. The majority of our nonclinical and manufacturing work is done by CMOs, in the United Kingdom. In particular, the United Kingdom no longer being a part of the EU customs union may result in delays in importation and exportation of our clinical trial materials product candidates, and disruption of the supply chain for our clinical trial materials and product candidates. If any of these outcomes occurs, we may be forced to restrict or delay efforts to seek regulatory approval in the United Kingdom and/or European Union for our product candidates, which could significantly and materially harm our business.</w:t>
      </w:r>
    </w:p>
    <w:p>
      <w:pPr>
        <w:spacing w:after="0" w:line="16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United Kingdom’s withdrawal from the European Union and its consequences could adversely impact customer confidence resulting in customers reducing their spending budgets on our product candidates, if approved, which could adversely affect our business, financial condition, results of operations and could adversely affect the market price of our ordinary shares.</w:t>
      </w:r>
    </w:p>
    <w:p>
      <w:pPr>
        <w:spacing w:after="0" w:line="184" w:lineRule="exact"/>
        <w:rPr>
          <w:sz w:val="20"/>
          <w:szCs w:val="20"/>
          <w:color w:val="auto"/>
        </w:rPr>
      </w:pPr>
    </w:p>
    <w:p>
      <w:pPr>
        <w:ind w:left="180" w:right="80"/>
        <w:spacing w:after="0" w:line="277" w:lineRule="auto"/>
        <w:rPr>
          <w:sz w:val="20"/>
          <w:szCs w:val="20"/>
          <w:color w:val="auto"/>
        </w:rPr>
      </w:pPr>
      <w:r>
        <w:rPr>
          <w:rFonts w:ascii="Arial" w:cs="Arial" w:eastAsia="Arial" w:hAnsi="Arial"/>
          <w:sz w:val="18"/>
          <w:szCs w:val="18"/>
          <w:b w:val="1"/>
          <w:bCs w:val="1"/>
          <w:i w:val="1"/>
          <w:iCs w:val="1"/>
          <w:color w:val="auto"/>
        </w:rPr>
        <w:t>If we or any third parties working with 5-MeO-DMT whom we engage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and third parties working on our behalf, are subject to numerous environmental, health and safety laws and regulations, including those governing laboratory procedures and the handling, use, storage, treatment and disposal of hazardous materials and wastes. From time to time and in the future, our operations and the operations of third parties operating on our behalf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particular, there is limited toxicology data on 5-MeO-DMT, and the risk of contamination and injury is higher as we and third parties working on our behalf work with 5-MeO-DMT in its aerosolized form.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maintain employer’s liability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184" w:lineRule="exact"/>
        <w:rPr>
          <w:sz w:val="20"/>
          <w:szCs w:val="20"/>
          <w:color w:val="auto"/>
        </w:rPr>
      </w:pPr>
    </w:p>
    <w:p>
      <w:pPr>
        <w:ind w:right="620" w:firstLine="324"/>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Environmental laws and regulations may impair our research, development or production efforts. In addition, failure to comply with these laws and regulations may result in substantial fines, penalties or other sanctions.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left="180" w:right="180"/>
        <w:spacing w:after="0" w:line="263" w:lineRule="auto"/>
        <w:rPr>
          <w:sz w:val="20"/>
          <w:szCs w:val="20"/>
          <w:color w:val="auto"/>
        </w:rPr>
      </w:pPr>
      <w:r>
        <w:rPr>
          <w:rFonts w:ascii="Arial" w:cs="Arial" w:eastAsia="Arial" w:hAnsi="Arial"/>
          <w:sz w:val="18"/>
          <w:szCs w:val="18"/>
          <w:b w:val="1"/>
          <w:bCs w:val="1"/>
          <w:i w:val="1"/>
          <w:iCs w:val="1"/>
          <w:color w:val="auto"/>
        </w:rPr>
        <w:t>We rely on applications for patents and other intellectual property rights to protect our GH001, GH002 and GH003 product candidates, the prosecution, enforcement, defense and maintenance of which may be challenging and costly. Failure to adequately prosecute, maintain, enforce or protect these rights could harm our ability to compete and impair our business.</w:t>
      </w:r>
    </w:p>
    <w:p>
      <w:pPr>
        <w:spacing w:after="0" w:line="184"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commercial success depends in part on obtaining and maintaining patents and other forms of intellectual property rights relating to GH001, GH002, GH003 and any future product candidates, methods used to manufacture the underlying therapeutic substances, compositions and methods for treating patients using those substances and therapies and medical devices used to deliver such substances and therapies, or licensing such rights from third parties. Failure to obtain, maintain, protect, enforce or extend adequate patent and other intellectual property rights could materially adversely affect our ability to develop and market GH001, GH002, GH003 and any future product candidates, and medical devices to deliver such product candidates. We also rely on trade secrets and know-how to develop and maintain our proprietary and intellectual property position. Any failure to protect our trade secrets and know-how could similarly adversely affect our operations and prospects.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do not currently own or exclusively license any issued patents, and we cannot be certain that patents will be issued or granted with respect to our or any of our future licensors’ pending and future patent applications, or that issued or granted patents will not later be found to be invalid or unenforceable. The patent position of companies like ours is generally uncertain because it involves complex legal and factual considerations and has, in recent years, been the subject of much litigation. As a result, the issuance, scope, validity, enforceability and commercial value of our patent rights is highly uncertain. The standards applied by the European Patent Office, the United States Patent and Trademark Office, or USPTO, and foreign patent offices in granting patents are not always applied uniformly or predictably. For example, there is no uniform worldwide policy regarding patentable subject matter or the scope of claims allowable in pharmaceutical patents. Consequently, patents may not issue from our pending patent applications, and even if they do issue, such patents may not issue in a form that effectively prevents others from developing or commercializing competing therapies. As such, we do not know the degree of future protection that we will have on our proprietary therapies. This risk is further heightened with respect to our GH001, GH002 and GH003 product candidates given that 5-MeO-DMT is a naturally occurring substance and therefore is not subject to patent protection.</w:t>
      </w:r>
    </w:p>
    <w:p>
      <w:pPr>
        <w:spacing w:after="0" w:line="168"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patent prosecution process is expensive, complex and time-consuming, and we and any of our third-party licensors, licensees, or collaboration partners may not be able to prepare, file and prosecute all necessary or desirable patent applications at a reasonable cost or in a timely manner. It is also possible that we or our licensors, licensees or collaboration partners will fail to identify patentable aspects of inventions made in the course of research, development or commercialization activities before it is too late to pursue patent protection on them. In addition,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published until and unless granted. Therefore, we cannot be certain that we were the first to make the inventions claimed in our patents or pending patent applications, or that we were the first to file for patent protection of such inventions. Similarly, we cannot be certain that for any in-licensed patents or pending patent applications, the named applicant(s) were the first to make the inventions claimed in such patents or pending patent applications or that the named applicant(s) were the first to file for patent protection for such inventions.</w:t>
      </w:r>
    </w:p>
    <w:p>
      <w:pPr>
        <w:spacing w:after="0" w:line="18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Moreover, in some circumstances, we may not have the right to control the preparation, filing, prosecution, maintenance, enforcement and defense of patents and patent applications covering technology that we license from or license to third parties, and may be reliant on our licensors, licensees or collaboration partners to do so. Therefore, these patents and applications may not be prepared, filed, prosecuted, maintained, enforced or defended in a manner consistent with the best interests of our business. If any of our current or future licensors, licensees or collaboration partners fail to establish, maintain or protect such patents and other intellectual property rights, such rights may be reduced or eliminated. If any of our licensors, licensees or collaboration partners are not fully cooperative or disagree with us as to the prosecution, maintenance or enforcement of any patents and other intellectual property rights, such rights could be compromised and our right to develop and commercialize our product candidates that are subject to such license rights could be adversely affected.</w:t>
      </w:r>
    </w:p>
    <w:p>
      <w:pPr>
        <w:spacing w:after="0" w:line="19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patent examination process may also require us or our licensors, licensees or collaboration partners to narrow the scope of the claims of our or our licensors’, licensees’ or collaboration partners’ pending and future patent applications, which may limit the scope of patent protection that may be obtained. We cannot assure you that all of the potentially relevant prior art relating to our or any of our licensors’, licensees’ or collaboration partners’ patents and patent applications has been found. If such prior art exists, it can invalidate a patent or prevent a patent from issuing from a pending patent application.</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or any of our licensors’, licensees’ or collaboration partners’ patents may be challenged in the courts or patent offices in the United States and abroad. Even if patents do successfully issue and even if such patents cover GH001, GH002, GH003 and any future product candidates, third parties may initiate an opposition, interference, re-examination, post-grant review, inter partes review, nullification or derivation proceedings in court or before patent offices, or similar proceedings challenging the validity, enforceability or scope of such patents, which may result in loss of exclusivity or in patent claims being narrowed, invalidated, or held unenforceable, which could limit our ability to stop others from using or commercializing similar or identical technology and therapies, or limit the duration of patent protection of our technology and product candidates.</w:t>
      </w:r>
    </w:p>
    <w:p>
      <w:pPr>
        <w:spacing w:after="0" w:line="17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and our licensors’, licensees’ or collaboration partners’ patent applications cannot be enforced against third parties practicing the technology claimed in such applications unless and until a patent issues from such applications, and then only to the extent the issued claims cover the technology. In addition, patents and other intellectual property rights will not protect our technology, GH001, GH002, GH003 or any future product candidates or medical devices to deliver such product candidates if third parties, including our competitors, design around our protected technology, GH001, GH002, GH003 or any future product candidates or medical devices to deliver such product candidates without infringing, misappropriating or otherwise violating our owned or in-licensed patents or other intellectual property rights. Moreover, some of our patents and patent applications may be co-owned with third parties in the future. If we are unable to obtain an exclusive license to any such third-party co-owners’ interest in such patents or patent applications, such co-owners may be able to license their rights to other third parties, including our competitors, and our competitors could market competing therapies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82"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Because patent applications are confidential for a period of time after filing, and some remain so until issued, we cannot be certain that we or our licensors, licensees or collaborators were or will be the first to file any patent application related to a product candidate. Furthermore, if patent applications of third parties have an effective filing date before March 16, 2013, an interference proceeding can be initiated by such third parties to determine who was the first to invent any of the subject matter covered by the patent claims of our applications. If patent applications of third parties have an effective filing date on or after March 16,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we may be subject to third-party challenges regarding our exclusive ownership of our intellectual property. If a third party were successful in challenging our exclusive ownership of any of our intellectual property, we may lose our right to use such intellectual property, such third party may be able to license such intellectual property to other third parties, including our competitors, and our competitors could market competing therapies and technology. Any of the foregoing could have a material adverse effect on our competitive position, business, financial conditions, results of operations, and prospects.</w:t>
      </w:r>
    </w:p>
    <w:p>
      <w:pPr>
        <w:spacing w:after="0" w:line="17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Furthermore, our owned and in-licensed patents may be subject to a reservation of rights by one or more third parties. For example, we may develop, acquire or license intellectual property rights that have been generated through the use of U.S. government funding. As a result, the U.S. government may have certain rights, or march-in rights, to such patent rights and technology. When new technologies are developed with U.S. government funding, the U.S. government generally obtains certain rights in any resulting patents, including a non-exclusive, worldwide, irrevocable license authorizing the U.S. government to use the inventions for non-commercial purposes. These rights may permit the government to disclose our confidential information to third parties and to exercise march-in rights to use or allow third parties to use our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The U.S. government also has the right to take title to these inventions if the grant recipient fails to disclose the invention to the government or fails to file an application to register the intellectual property within specified time limits.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right="560"/>
        <w:spacing w:after="0" w:line="342" w:lineRule="auto"/>
        <w:rPr>
          <w:sz w:val="20"/>
          <w:szCs w:val="20"/>
          <w:color w:val="auto"/>
        </w:rPr>
      </w:pPr>
      <w:r>
        <w:rPr>
          <w:rFonts w:ascii="Arial" w:cs="Arial" w:eastAsia="Arial" w:hAnsi="Arial"/>
          <w:sz w:val="16"/>
          <w:szCs w:val="16"/>
          <w:b w:val="1"/>
          <w:bCs w:val="1"/>
          <w:i w:val="1"/>
          <w:iCs w:val="1"/>
          <w:color w:val="auto"/>
        </w:rPr>
        <w:t>We may be involved in lawsuits or administrative proceedings to protect or enforce our patents or other intellectual property rights, and issued patents covering one or more of our product candidates could be found invalid or unenforceable if challenged in court.</w:t>
      </w:r>
    </w:p>
    <w:p>
      <w:pPr>
        <w:spacing w:after="0" w:line="12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Competitors or other third parties may infringe, misappropriate or otherwise violate our patents, the patents of our licensors or our other intellectual property rights. To protect our competitive position, we may from time to time need to resort to litigation in order to enforce or defend any patents or other intellectual property rights owned by or licensed to us, or to determine or challenge the scope or validity of patents or other intellectual property rights of third parties. Enforcement of intellectual property rights is difficult, unpredictable and expensive, and many of our or our licensors’ or collaboration partners’ adversaries in these proceedings may have the ability to dedicate substantially greater resources to prosecuting these legal actions and better sustain the costs of such actions than we or our licensors or collaboration partners can. Accordingly, despite our or our licensors’ or collaboration partners’ efforts, we or our licensors or collaboration partners may not prevent third parties from infringing upon, misappropriating or otherwise violating intellectual property rights we own or control, particularly in countries where the laws may not protect those rights as fully as in the United Kingdom, European Union and the United States. We may also fail in enforcing our rights, in which case our competitors and other third parties may be permitted to use our therapies or other technologies without payment to us.</w:t>
      </w:r>
    </w:p>
    <w:p>
      <w:pPr>
        <w:spacing w:after="0" w:line="18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In addition, litigation involving our patents carries the risk that one or more of our patents will be narrowed, held invalid (in whole or in part, on a claim-by-claim basis) or held unenforceable. Such an adverse court ruling could allow third parties to commercialize our therapies or other technologies, and then compete directly with us, without payment to us.</w:t>
      </w:r>
    </w:p>
    <w:p>
      <w:pPr>
        <w:spacing w:after="0" w:line="18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If we were to initiate legal proceedings against a third party to enforce a patent covering one of our product candidates, the defendant could counterclaim that our patent is invalid or unenforceable. In patent litigation in the United States or in Europe, defendant counterclaims alleging invalidity or unenforceability are commonplace. A claim for a validity challenge may be based on failure to meet any of several statutory requirements, for example, lack of novelty, obviousness or non-enablement. Grounds for an unenforceability assertion could be an allegation that someone connected with prosecution of the patent withheld relevant information from the European Patent Office or the USPTO or made a misleading statement during prosecution. Third parties may also raise challenges to the validity of our patent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(i.e., opposition proceedings). Such proceedings could result in the revocation of, cancellation of, or amendment to our patents in such a way that they no longer cover GH001, GH002, GH003 or any future product candidates or medical devices to deliver such product candidates. The outcome following legal assertions of invalidity and unenforceability during patent litigation or other proceedings is unpredictable. With respect to the validity question, for example, we cannot be certain that there is no invalidating prior art of which we and the patent examiner were unaware during prosecution. If a defendant or third party were to prevail on a legal assertion of invalidity or unenforceability, we would lose at least part, and perhaps all, of the patent protection on GH001, GH002, GH003 or one or more of any future product candidates or medical devices to deliver such product candidates. Such a loss of patent protection could have a material adverse impact on our business financial condition, results of operations, and prospects. Further, litigation could result in substantial costs and diversion of management resources, regardless of the outcome, and this could harm our business and financial results.</w:t>
      </w:r>
    </w:p>
    <w:p>
      <w:pPr>
        <w:spacing w:after="0" w:line="18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may also be subject to claims challenging the inventorship or ownership of our patents and other intellectual property. It is possible that we do not perfect our ownership of all patents, patent applications and other intellectual property. This possibility includes the risk that we do not identify all inventors, or identify incorrect inventors, which may lead to claims disputing inventorship or ownership of our patents, patent applications and other intellectual property by former employees or other third parties. There is also a risk that we do not establish an unbroken chain of title from inventors to us. Errors in inventorship or ownership can sometimes also impact priority claims. If we were to lose the ability to claim priority for certain patent filings, intervening art or other events may preclude us from issuing patents. Litigation may be necessary to defend against these and other claims challenging inventorship or ownership. If we fail in defending any such claims, in addition to monetary damages, we may lose valuable intellectual property rights. Such an outcome could significantly harm our business and financial results.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right="36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Periodic maintenance, renewal, annuity and various other governmental fees on any issued or applied-for patents are due to be paid to the European Patent Office, the USPTO and foreign patent agencies in several stages over the lifetime of a patent. The European Patent Office, the USPTO and various foreign governmental patent agencies also require compliance with a number of procedural, documentary, fee payment and other similar provisions during the patent application process. In certain circumstances, we may rely on our collaboration partners, law firms or other professionals to pay these fees due to the USPTO and comparable foreign patent agencies and to take the necessary action to comply with such requirements with respect to our intellectual property. While instances of inadvertent non-compliance can, in many cases, be cured by payment of a late fee or by other means in accordance with the applicable rules, there are situations in which non-compliance can result in abandonment or lapse of a patent or patent application, resulting in a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service providers, licensors or collaboration partners fail to maintain the patents and patent applications covering our product candidates, our patent protection could be reduced or eliminated and third parties, including our competitors, might be able to enter the market with similar or identical therapies or technologies, which would have a material adverse effect on our business, financial condition, results of operations, and prospects. In addition, if we fail to apply for or otherwise fail to obtain applicable patent term extensions or adjustments as a result of such non-compliance, we will have a more limited time during which we can enforce our granted patent rights. Further, if we are responsible for patent prosecution and maintenance of patent rights in-licensed to us, any of the foregoing could expose us to liability to the applicable patent owner.</w:t>
      </w:r>
    </w:p>
    <w:p>
      <w:pPr>
        <w:spacing w:after="0" w:line="167" w:lineRule="exact"/>
        <w:rPr>
          <w:sz w:val="20"/>
          <w:szCs w:val="20"/>
          <w:color w:val="auto"/>
        </w:rPr>
      </w:pPr>
    </w:p>
    <w:p>
      <w:pPr>
        <w:ind w:left="180" w:right="40"/>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foreign legislation for extending the term of patents covering each of our product candidates, our business may be materially harmed.</w:t>
      </w:r>
    </w:p>
    <w:p>
      <w:pPr>
        <w:spacing w:after="0" w:line="170"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In the United States, if all maintenance fees are paid on time, the natural expiration of a patent is generally 20 years from its earliest U.S. non-provisional filing date. Various extensions may be available, but there can be no assurance that any such extensions will be obtained, and the life of a patent, and the protection it affords, is limited. Even if patents covering our product candidates, their manufacture or use are obtained, once the patent life has expired, we may be open to competition from competitive therapies or technologies. Given the amount of time required for the development, testing and regulatory review of new product candidates, patents protecting such candidates and concomitant therapies might expire before or shortly after such candidates and concomitant therapies are commercialized. As a result, our owned and in-licensed patent portfolio may not provide us with sufficient rights to exclude others from commercializing therapies similar or identical to ours.</w:t>
      </w:r>
    </w:p>
    <w:p>
      <w:pPr>
        <w:spacing w:after="0" w:line="17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Depending upon the timing, duration and conditions of FDA marketing approval of GH001, GH002, GH003 and any of our future product candidates and medical devices to deliver such product candidates, one or more U.S. patents that we may own or license in the future may be eligible for a limited patent term extension under the Drug Price Competition and Patent Term Restoration Act of 1984, or the Hatch-Waxman Act. The Hatch-Waxman Act permits a patent term extension of up to five years beyond the normal expiration for a patent covering an approved product as compensation for effective patent term loss during product development and the FDA regulatory review process. The patent term extension cannot extend the remaining term of a patent beyond a total of 14 years from the date of product approval, is limited to the approved indication (or any additional indications approved during the period of extension) and only one patent per approved drug may be extended and only those claims covering the approved drug, a method for using it, or a method of manufacturing it may be extended. Patent term extension may also be available in certain foreign jurisdictions, including the European Union, upon regulatory approval of any product candidates we develop. However, we may not receive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not be lengthened and third parties, including our competitors, may obtain approval to market competing therapies sooner than we expect. As a result, our revenue from applicable therapies could be materially reduced and our business, financial condition, results of operations, and prospects could be materially harmed.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business and competitive advantage.</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70" w:lineRule="exact"/>
        <w:rPr>
          <w:sz w:val="20"/>
          <w:szCs w:val="20"/>
          <w:color w:val="auto"/>
        </w:rPr>
      </w:pPr>
    </w:p>
    <w:p>
      <w:pPr>
        <w:ind w:left="660" w:right="6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be able to make compositions that are the same as or similar to GH001, GH002, GH003, and any future product candidate compositions, or may be able to make medical devices to deliver such compositions, that are not covered by the claims of the patents that we own or license;</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patents of third parties may have an adverse effect on our business;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or our licensors or collaboration partners might not have been the first to conceive or reduce to practice the inventions covered by the issued patent or pending patent application that we own or license;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or our licensors or collaboration partners might not have been the first to file patent applications covering certain of our or their inventions;</w:t>
      </w:r>
    </w:p>
    <w:p>
      <w:pPr>
        <w:spacing w:after="0" w:line="248" w:lineRule="exact"/>
        <w:rPr>
          <w:rFonts w:ascii="Arial" w:cs="Arial" w:eastAsia="Arial" w:hAnsi="Arial"/>
          <w:sz w:val="16"/>
          <w:szCs w:val="16"/>
          <w:color w:val="auto"/>
        </w:rPr>
      </w:pPr>
    </w:p>
    <w:p>
      <w:pPr>
        <w:ind w:left="660" w:right="8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is possible that current and future pending patent applications we own or in-license will not lead to issued patents;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issued patents that we own or in-license may not provide us with any competitive advantage, or may be held invalid or unenforceable as a result of legal challenges by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issued patents that we own or in-license may not have sufficient term or geographic scope to provide meaningful protection;</w:t>
      </w:r>
    </w:p>
    <w:p>
      <w:pPr>
        <w:spacing w:after="0" w:line="225" w:lineRule="exact"/>
        <w:rPr>
          <w:rFonts w:ascii="Arial" w:cs="Arial" w:eastAsia="Arial" w:hAnsi="Arial"/>
          <w:sz w:val="18"/>
          <w:szCs w:val="18"/>
          <w:color w:val="auto"/>
        </w:rPr>
      </w:pPr>
    </w:p>
    <w:p>
      <w:pPr>
        <w:jc w:val="both"/>
        <w:ind w:left="660" w:right="34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that provide a safe harbor from patent infringement claims for certain research and development activities or in countries where we do not have patent rights and then use the information learned from such activities to develop competitive therapies for sale in our major commercial markets;</w:t>
      </w:r>
    </w:p>
    <w:p>
      <w:pPr>
        <w:spacing w:after="0" w:line="183"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third parties performing manufacturing or testing for us using our therapies or technologies could use the intellectual property of others without obtaining a proper license;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develop additional technologies that are patentable; and</w:t>
      </w:r>
    </w:p>
    <w:p>
      <w:pPr>
        <w:spacing w:after="0" w:line="225"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 or otherwise develop similar know-how.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right="500"/>
        <w:spacing w:after="0" w:line="308"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we or our employees, consultants or advisors have misappropriated their intellectual property, including trade secrets, or claiming ownership of what we regard as our own intellectual property.</w:t>
      </w:r>
    </w:p>
    <w:p>
      <w:pPr>
        <w:spacing w:after="0" w:line="146"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Many of our consultants, advisors and employees, including our senior management, were previously employed at other biotechnology or pharmaceutical companies, including our competitors and potential competitors. Some of these individuals executed proprietary rights, non-disclosure and non-competition agreements in connection with such previous employment. Although we intend that our consultants, advisors and employees do not use proprietary information or know-how of their former employers while working for us, we may be subject to claims that we or these individuals have used or disclosed confidential information or intellectual property, including trade secrets or other proprietary information, of any such individual’s former employer. Litigation may be necessary to defend against these claims, regardless of their merit, and we cannot predict whether we would prevail in any such actions. If we fail in prosecuting or defending any such claims, in addition to paying monetary damages, we may lose valuable intellectual property rights or personnel or sustain damages, our development and commercialization efforts may be prevented or delayed, and we could be required to obtain a license from such third party to commercialize our therapies or other technologies. Such a license may not be available on commercially reasonable terms or at all. Even if we successfully prosecute or defend against such claims, litigation could result in substantial costs and distract our management from its day-to-day activities, and may cause negative publicity.</w:t>
      </w:r>
    </w:p>
    <w:p>
      <w:pPr>
        <w:spacing w:after="0" w:line="18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addition, we may be subject to claims by our current or former employees or contractors asserting an ownership right in our intellectual property as a result of the work they performed on our behalf.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The assignment of intellectual property rights may not be self-executing, or the assignment agreements may be breached, for which we may not have an adequate remedy,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78" w:lineRule="exact"/>
        <w:rPr>
          <w:sz w:val="20"/>
          <w:szCs w:val="20"/>
          <w:color w:val="auto"/>
        </w:rPr>
      </w:pPr>
    </w:p>
    <w:p>
      <w:pPr>
        <w:ind w:left="180" w:right="140"/>
        <w:spacing w:after="0" w:line="259" w:lineRule="auto"/>
        <w:rPr>
          <w:sz w:val="20"/>
          <w:szCs w:val="20"/>
          <w:color w:val="auto"/>
        </w:rPr>
      </w:pPr>
      <w:r>
        <w:rPr>
          <w:rFonts w:ascii="Arial" w:cs="Arial" w:eastAsia="Arial" w:hAnsi="Arial"/>
          <w:sz w:val="18"/>
          <w:szCs w:val="18"/>
          <w:b w:val="1"/>
          <w:bCs w:val="1"/>
          <w:i w:val="1"/>
          <w:iCs w:val="1"/>
          <w:color w:val="auto"/>
        </w:rPr>
        <w:t>Intellectual property rights of third parties could adversely affect our ability to compete or commercialize our product candidates. Third parties may allege that we are infringing, misappropriating or otherwise violating their intellectual property rights such that we could be required to litigate or obtain licenses from third parties in order to develop or market our product candidates, which could be costly and have a negative impact on the success of our business.</w:t>
      </w:r>
    </w:p>
    <w:p>
      <w:pPr>
        <w:spacing w:after="0" w:line="18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commercial success depends, in part, upon our ability and the ability of our current and future collaborators to develop, manufacture, market, and sell any product candidates and devices to deliver such product candidates that we may develop and use our proprietary technologies without infringing, misappropriating or otherwise violating the intellectual property and proprietary rights of third parties. The various markets in which we plan to operate are subject to frequent and extensive litigation regarding patents and other intellectual property rights. In the future, we may become party to, or threatened with, adversarial proceedings or litigation regarding intellectual property rights with respect to GH001, GH002, GH003 or any future product candidates or medical devices to deliver such product candidates. If the outcome of any such proceeding or litigation is adverse to us, it may affect our ability to compete effectively.</w:t>
      </w:r>
    </w:p>
    <w:p>
      <w:pPr>
        <w:spacing w:after="0" w:line="195"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Additionally, our competitive position may suffer if patents issued to third parties, or other third-party intellectual property rights, cover our therapies or elements thereof, our manufacture or uses relevant to our development plans, the targets of GH001, GH002, GH003 or any future product candidates, or medical devices to deliver such product candidates, or other attributes of GH001, GH002, GH003 or any future product candidates. In such cases, we may not be in a position to develop or commercialize such product candidates or devices to deliver such product candidates unless we successfully pursue litigation to nullify or invalidate the third-party intellectual property right concerned, or enter into a license agreement with the intellectual property right holder, which may not be available on commercially reasonable terms or at all. In the event that a patent has not expired at the time of approval of such product candidate(s) and the patent owner were to bring an infringement action against us, we may have to argue that our product candidates or the manufacture or use of the underlying therapeutic substances or devices to deliver such product candidates do not infringe a valid claim of the patent in question. Alternatively, if we were to challenge the validity of any issued U.S. patent in court, we would need to overcome a statutory presumption of validity that attaches to every U.S. patent. This means that in order to prevail, we would need to present clear and convincing evidence as to the invalidity of the patent’s claims. The same applies to certain other jurisdictions. Even if we believe third-party intellectual property claims are without merit, there is no assurance that a court would find in our favor on questions of infringement, validity, enforceability, or priority. In the event that a third party successfully asserts its patent against us such that such third party’s patent is found to be valid and enforceable and infringed by our product candidates, unless we obtain a license to such patent, under which we would most likely be required to pay various types of fees, milestones, royalties or other amounts, and which may not be available on commercially reasonable terms or at all, we could be prevented from continuing to develop or commercialize our product candidates.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It is possible that we have failed, and in the future may fail, to identify relevant patents or applications that may be asserted against us. For example, certain U.S. patent applications filed after November 29, 2000 can remain confidential until and unless issued as patents, provided that inventions disclosed in the applications have not and will not be the subject of a corresponding application filed outside the United States. In general, patent applications in the United States and elsewhere are published approximately 18 months after the earliest filing for which priority is claimed, with such earliest filing date being commonly referred to as the priority date. Therefore, patent applications covering our therapies could have been filed by others without our knowledge. Furthermore, we operate in a highly competitive field, and given our limited resources, it is unreasonable to monitor all patent applications in the areas in which we are active. Additionally, pending patent applications which have been published can, subject to certain limitations, be later amended in a manner that could cover our therapies or the use of our therapies.</w:t>
      </w:r>
    </w:p>
    <w:p>
      <w:pPr>
        <w:spacing w:after="0" w:line="178"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Third-party intellectual property right holders, including our competitors, may actively bring infringement, misappropriation or violation claims against us based on existing or future intellectual property rights, regardless of their merit. We may not be able to successfully settle or otherwise resolve such infringement claims. If we are unable to successfully settle future claims on terms acceptable to us, we may be required to engage or continue costly, unpredictable and time-consuming litigation and may be prevented from or experience substantial delays in marketing our therapies. Moreover, we may face patent infringement claims from nonpracticing entities that have no relevant drug revenue and against whom our own patent portfolio may thus have no deterrent effect.</w:t>
      </w:r>
    </w:p>
    <w:p>
      <w:pPr>
        <w:spacing w:after="0" w:line="19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If we are unsuccessful in defending any such claim, in addition to being forced to pay damages, we or our licensees may be temporarily or permanently prohibited from commercializing any of our product candidates or devices to deliver such product candidates that were held to be infringing. If possible, we might be forced to redesign GH001, GH002, GH003 or any future product candidates or medical devices to deliver such product candidates so that we no longer infringe the intellectual property rights of third parties, or we may be required to seek a license to any such technology that we are found to infringe, which license may not be available on commercially reasonable terms or at all. Even if we or our licensors or collaboration partners obtain a license, it may be non-exclusive, thereby giving our competitors access to the same technologies licensed to us or our licensors or collaboration partners and it could require us to make significant licensing and royalty payments. In addition, we could be found liable for significant monetary damages, including treble damages and attorneys’ fees, if we are found to have willfully infringed a patent or other intellectual property right. We could also be required to indemnify collaborators or contractors against such claims. Claims that we have misappropriated the confidential information or trade secrets of third parties could have a similar material adverse effect on our business, financial condition, results of operations, and prospects. Any of these events, even if we were ultimately to prevail, could require us to divert substantial financial and management resources that we would otherwise be able to devote to our business.</w:t>
      </w:r>
    </w:p>
    <w:p>
      <w:pPr>
        <w:spacing w:after="0" w:line="17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if the breadth or strength of protection provided by our or our licensors’ or collaboration partners’ patents and patent applications is threatened, it could dissuade companies from collaborating with us to license, develop or commercialize current or future product candidates.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7" w:lineRule="exact"/>
        <w:rPr>
          <w:sz w:val="20"/>
          <w:szCs w:val="20"/>
          <w:color w:val="auto"/>
        </w:rPr>
      </w:pPr>
    </w:p>
    <w:p>
      <w:pPr>
        <w:ind w:left="180" w:right="14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distract our personnel from their normal responsibilities, harming our reputation and our business operations.</w:t>
      </w:r>
    </w:p>
    <w:p>
      <w:pPr>
        <w:spacing w:after="0" w:line="170"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 uncertainties associated with litigation could compromise our ability to raise the funds necessary to continue our clinical trials, continue our internal research programs or in-license needed technology. There could also be public announcements of the results of hearings, motions or other interim proceedings or developments and if securities analysts or investors perceive these results to be negative, it could have a substantial adverse effect on the price of our ordinary shares. Such litigation or proceedings could substantially increase our operating losses and reduce our resources available for development and commercialization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Furthermore, because of the substantial amount of discovery required in connection with intellectual property litigation, there is a risk that some of our confidential information could be compromised by disclosure during this type of litigation. Uncertainties resulting from the initiation and continuation of patent litigation or other intellectual property proceedings could have a material adverse effect on our ability to compete in the marketplace.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right="18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GH001, GH002, GH003 or any future product candidates or any medical devices to deliver such product candidates through acquisitions and in-licenses.</w:t>
      </w:r>
    </w:p>
    <w:p>
      <w:pPr>
        <w:spacing w:after="0" w:line="17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the future, our programs may require the use of intellectual property or proprietary rights held by third parties, and the growth of our business will likely depend in part on our ability to acquire, in-license, maintain and use these intellectual property and proprietary rights.</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our GH001 inhaled product candidate, we currently acquire the device used to create the inhaled aerosol from a third party. The device and our uses thereof may be covered by one or more patents issued to such third party or other third parties, or other intellectual property rights of such third party or other third parties. We do not currently have a commercial supply agreement with this third party, nor have we established license agreements with any alternative provider of a suitable device. We have started working with a CDMO to develop a proprietary delivery device for GH001. Further, for each of GH001, GH002 and GH003 and any future delivery platforms that include the use of a device, we plan to either license or acquire the required delivery devices from third parties or work with a CDMO to develop such device and establish manufacturing capabilities for such device. However, we may not be able to in-license the relevant technology, acquire the required delivery device or develop a proprietary delivery device, and our competitive position may suffer if we are unable to obtain necessary commercial supply agreements, licenses, or development agreements with the third parties.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with respect to any patents we may co-own with third parties, we may require licenses to such co-owners’ interest in such patents.</w:t>
      </w:r>
    </w:p>
    <w:p>
      <w:pPr>
        <w:spacing w:after="0" w:line="23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may be unable to acquire or in-license any compositions, methods of use, processes, or other third-party intellectual property rights from third parties that we identify as necessary for GH001, GH002, GH003 or any future product candidates or medical devices to deliver such product candidates on commercially reasonable terms or at all. For example, we may collaborate with U.S. and foreign academic institutions to accelerate our nonclinical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investigational therapy or program.</w:t>
      </w:r>
    </w:p>
    <w:p>
      <w:pPr>
        <w:spacing w:after="0" w:line="17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If we are unable to successfully acquire or obtain a license to third-party intellectual property rights necessary for the development of an investigational therapy or program, or maintain the existing intellectual property rights we have, we may have to abandon development of that investigational therapy or program, which could have a material adverse effect on our business, financial condition, results of operations, and prospects. Furthermore, even if we were able to obtain a license, it could be non-exclusive, thereby giving our competitors and other third parties access to the same technologies licensed to us, and it could require us to make substantial licensing and royalty payments.</w:t>
      </w:r>
    </w:p>
    <w:p>
      <w:pPr>
        <w:spacing w:after="0" w:line="196" w:lineRule="exact"/>
        <w:rPr>
          <w:sz w:val="20"/>
          <w:szCs w:val="20"/>
          <w:color w:val="auto"/>
        </w:rPr>
      </w:pPr>
    </w:p>
    <w:p>
      <w:pPr>
        <w:ind w:left="180" w:right="720"/>
        <w:spacing w:after="0" w:line="277"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patents in general or prevent us from obtaining adequate patent protection, and thereby impair our ability to protect our product candidates.</w:t>
      </w:r>
    </w:p>
    <w:p>
      <w:pPr>
        <w:spacing w:after="0" w:line="1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As is the case with other companies in our industry, our success is heavily dependent on obtaining, maintaining, protecting and enforcing our intellectual property rights, particularly patents. Obtaining and enforcing patent rights in the pharmaceutical industry involves technological and legal complexity, and is costly, time-consuming and inherently uncertain. Changes in either the patent laws or interpretation of the patent laws in the United States or other jurisdictions could increase the uncertainties and costs surrounding the prosecution of patent applications and the enforcement or defense of issued patents. For example, the America Invents Act, or the AIA, enacted in the United States in 2012 and 2013, has resulted in significant changes to the U.S. patent system.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Prior to the enactment of the AIA, assuming that other requirements for patentability are met, the first to invent the claimed invention was entitled to the patent, while outside the United States, the first to file a patent application was entitled to the patent. After March 16, 2013, under the AIA, the United States transitioned to a “first-to-file” system for deciding which party should be granted a patent when two or more patent applications are filed by different parties claiming the same invention regardless of whether a third party was the first to invent the claimed invention. Under this regime, a third party that files a patent application in the USPTO before us could be awarded a patent covering an invention of ours even if we made the invention before the third party. The AIA requires us to be cognizant going forward of the time from invention to filing of a patent application, but circumstances could prevent us from promptly filing patent applications on our inventions.</w:t>
      </w:r>
    </w:p>
    <w:p>
      <w:pPr>
        <w:spacing w:after="0" w:line="19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Among some of the other significant changes introduced by the AIA are changes that limit where a patentee may file a patent infringement suit and provide additional opportunities for third parties to challenge any pending patent application or issued patent in the USPTO. Such opportunities include allowing third-party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 any of our future U.S. patents invalid even though the same evidence would be insufficient to invalidate the claim if first presented in a district court action. Accordingly, a third party may attempt to use USPTO procedures to invalidate patent claims that would not have been invalidated if first challenged by the third party as a defendant in a district court action. The AIA and its implementation could increase the uncertainties and costs surrounding the prosecution of any of our future U.S. patent applications and the enforcement or defense of any patents that may issue from such patent applications.</w:t>
      </w:r>
    </w:p>
    <w:p>
      <w:pPr>
        <w:spacing w:after="0" w:line="18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future actions by the U.S. Congress, the federal courts and the USPTO, or similar authorities in foreign jurisdictions, the laws and regulations governing patents could change in unpredictable ways that could weaken our ability to obtain new patents or to enforce our existing patents and patents that we might obtain in the future.</w:t>
      </w:r>
    </w:p>
    <w:p>
      <w:pPr>
        <w:spacing w:after="0" w:line="192" w:lineRule="exact"/>
        <w:rPr>
          <w:sz w:val="20"/>
          <w:szCs w:val="20"/>
          <w:color w:val="auto"/>
        </w:rPr>
      </w:pPr>
    </w:p>
    <w:p>
      <w:pPr>
        <w:jc w:val="both"/>
        <w:ind w:left="180" w:right="200"/>
        <w:spacing w:after="0" w:line="340" w:lineRule="auto"/>
        <w:rPr>
          <w:sz w:val="20"/>
          <w:szCs w:val="20"/>
          <w:color w:val="auto"/>
        </w:rPr>
      </w:pPr>
      <w:r>
        <w:rPr>
          <w:rFonts w:ascii="Arial" w:cs="Arial" w:eastAsia="Arial" w:hAnsi="Arial"/>
          <w:sz w:val="15"/>
          <w:szCs w:val="15"/>
          <w:b w:val="1"/>
          <w:bCs w:val="1"/>
          <w:i w:val="1"/>
          <w:iCs w:val="1"/>
          <w:color w:val="auto"/>
        </w:rPr>
        <w:t>If we fail to comply with our obligations under the agreements pursuant to which we license intellectual property rights to or from third parties, or otherwise experience disruptions to our business relationships with our licensors, licensees or collaborators, we could lose the rights to intellectual property that is important to our business and lose the ability to continue the development and/or commercialization of our product candidates.</w:t>
      </w:r>
    </w:p>
    <w:p>
      <w:pPr>
        <w:spacing w:after="0" w:line="13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are party to development agreements with CDMOs under which we grant such CDMOs non-exclusive rights to use certain of our intellectual property as necessary for such CDMOs to perform their obligations under such agreements, and under which we are granted non-exclusive rights to use certain of such CDMOs’ intellectual property as necessary in order to use and exploit such CDMOs’ deliverables under such agreements. We expect that we may need to enter into additional license or collaboration agreements in the future that may be important to our business. We expect that future license agreements may impose various financial and other obligations on us related to, among other things, therapeutic development and payment of royalties and fees based on achieving certain milestones. In addition, under such future license agreements, we may be prohibited from developing and commercializing therapies that would compete with the therapies licensed under such agreements. If we fail to comply with our obligations under these agreements, our licensor or collaboration partner may have the right to terminate the agreement, including any licenses included in such agreement, and we may face other liabilities for breach of such agreement.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termination of any license or collaboration agreements or failure to adequately protect our or our collaborators’ rights under such license or collaboration agreements could prevent us from further developing or commercializing GH001, GH002, GH003 or any future product candidates or medical devices to deliver such product candidates covered by the agreement or intellectual property licensed thereunder. For example, we may rely on license agreements which grant us rights to certain intellectual property and proprietary materials that we use in connection with the development of our therapies. If such agreements were to terminate, we may be unable to timely license similar intellectual property and proprietary materials from an alternate source, on commercially reasonable terms or at all, and may be required to conduct additional bridging studies on GH001, GH002, GH003 or any future product candidates or medical devices to deliver such product candidates or redesign our product candidates, or medical devices, or the methods for manufacturing them, which could delay or otherwise have a material adverse effect on the development and commercialization of GH001, GH002, GH003 or any future product candidates or medical devices to deliver such product candidates.</w:t>
      </w:r>
    </w:p>
    <w:p>
      <w:pPr>
        <w:spacing w:after="0" w:line="18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existing and future license agreements may also contain sublicenses from third parties which are not the original licensor of the intellectual property at issue. Under these agreements, we must rely on our licensor to comply with its obligations under the primary license agreements under which such third party obtained rights in the applicable intellectual property, where we may have no relationship with the original licensor of such rights. If our licensors fail to comply with their obligations under these upstream license agreements, the original third-party licensor may have the right to terminate the original license, which may terminate the sublicense. If this were to occur, we would no longer have rights to the applicable intellectual property and, in the case of a sublicense, if we were not able to secure our own direct license with the owner of the relevant rights, which we may not be able to do at a reasonable cost or on reasonable terms, it may adversely affect our ability to continue to develop and commercialize GH001, GH002, GH003 or any future product candidates or medical devices to deliver such product candidates incorporating the relevant intellectual property.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Disputes may arise regarding intellectual property subject to a license or collaboration agreement, including the following:</w:t>
      </w:r>
    </w:p>
    <w:p>
      <w:pPr>
        <w:spacing w:after="0" w:line="22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scope of rights granted under the agreement and other interpretation-related issues;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of the licensor or collaboration partner that is not subject to the agreement;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sublicensing of patents and other rights under any current or future collaboration relationships;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diligence obligations under the agreement and what activities satisfy those diligence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rights to transfer or assign the agreement;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collaboration partners;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In addition, third-party license and collaboration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 which could have a material adverse effect on our business, financial conditions, results of operations, and prospects.</w:t>
      </w:r>
    </w:p>
    <w:p>
      <w:pPr>
        <w:spacing w:after="0" w:line="177" w:lineRule="exact"/>
        <w:rPr>
          <w:sz w:val="20"/>
          <w:szCs w:val="20"/>
          <w:color w:val="auto"/>
        </w:rPr>
      </w:pPr>
    </w:p>
    <w:p>
      <w:pPr>
        <w:ind w:left="180" w:right="520"/>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protect other proprietary information.</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consider our trade secrets and proprietary confidential and unpatented know-how to be important to our business. We rely on trade secrets and confidential know-how to protect our proprietary technology, especially where patent protection is believed to be of limited value. However, trade secrets and know-how are difficult to maintain as confidential and we may, at times, have to share our trade secrets and confidential know-how with third parties with whom we collaborate for the development, manufacturing or commercialization of our current or future product candidates or under joint research and development programs.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To protect this type of information against disclosure or misappropriation by third parties and our competitors, our policy is to require our employees, consultants, contractors and advisors to enter into confidentiality agreements with us. However, we cannot guarantee that we have entered into such agreements with each party that may have or have had access to our trade secrets or confidential know-how. Also, current or former employees, consultants, contractors and advisors may unintentionally or willfully disclose our trade secrets and confidential know-how to our competitors and other third parties or breach such agreements, and we may not be able to obtain an adequate remedy for such breaches. Monitoring unauthorized uses and disclosures is difficult, and enforcing a claim that a third party illegally obtained and is using our trade secrets or confidential know-how is difficult, expensive, time-consuming and unpredictable. The enforceability of confidentiality agreements may vary from jurisdiction to jurisdiction and courts outside the United States are sometimes less willing to protect trade secrets. Furthermore, if a competitor or other third party lawfully obtained or independently developed any of our trade secrets or confidential know-how, we would have no right to prevent such competitor or other third party from using that technology or information to compete with us, which could harm our competitive position. Additionally, if the steps taken to maintain our trade secrets are deemed inadequate, we may have insufficient recourse against third parties for misappropriating such trade secrets. If any of our trade secrets were to be disclosed to, or independently developed by a competitor or other third party, or if we otherwise lose protection for our trade secrets, the value of this information may be greatly reduced and our competitive position would be materially and adversely harmed.</w:t>
      </w:r>
    </w:p>
    <w:p>
      <w:pPr>
        <w:spacing w:after="0" w:line="174"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Failure to obtain or maintain trade secret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or confidential know-how.</w:t>
      </w:r>
    </w:p>
    <w:p>
      <w:pPr>
        <w:spacing w:after="0" w:line="184" w:lineRule="exact"/>
        <w:rPr>
          <w:sz w:val="20"/>
          <w:szCs w:val="20"/>
          <w:color w:val="auto"/>
        </w:rPr>
      </w:pPr>
    </w:p>
    <w:p>
      <w:pPr>
        <w:ind w:left="180" w:right="24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expect to rely on trademarks in the future as a means to distinguish our product candidates that are approved for marketing from the products of our competitors. We have not yet selected trademarks for our product candidates and have not yet begun the process of applying to register trademarks for GH001, GH002, GH003 or any future product candidates. Once we select trademarks and apply to register them, our trademark applications may not be approved. Our registered or unregistered trademarks or trade names may be challenged, infringed, circumvented or declared generic or determined to be infringing on other marks, in which case we could be forced to rebrand our products, which could result in loss of brand recognition and could require us to devote resources to advertising and marketing new brands. Accordingly, we may not be able to adequately protect our rights to these trademarks and trade names, which we need to build name recognition by potential partners or customers in our markets of interest. If we are unable to establish name recognition based on our trademarks and trade names, then we may not be able to compete effectively and our business may be adversely affected. If other entities use trademarks similar to ours in different jurisdictions, or have senior rights to ours, it could interfere with our use of our trademarks throughout the world.</w:t>
      </w:r>
    </w:p>
    <w:p>
      <w:pPr>
        <w:spacing w:after="0" w:line="185" w:lineRule="exact"/>
        <w:rPr>
          <w:sz w:val="20"/>
          <w:szCs w:val="20"/>
          <w:color w:val="auto"/>
        </w:rPr>
      </w:pPr>
    </w:p>
    <w:p>
      <w:pPr>
        <w:ind w:left="180" w:right="460"/>
        <w:spacing w:after="0" w:line="342" w:lineRule="auto"/>
        <w:rPr>
          <w:sz w:val="20"/>
          <w:szCs w:val="20"/>
          <w:color w:val="auto"/>
        </w:rPr>
      </w:pPr>
      <w:r>
        <w:rPr>
          <w:rFonts w:ascii="Arial" w:cs="Arial" w:eastAsia="Arial" w:hAnsi="Arial"/>
          <w:sz w:val="16"/>
          <w:szCs w:val="16"/>
          <w:b w:val="1"/>
          <w:bCs w:val="1"/>
          <w:i w:val="1"/>
          <w:iCs w:val="1"/>
          <w:color w:val="auto"/>
        </w:rPr>
        <w:t>We may not be able to protect our intellectual property rights throughout the world and may face difficulties in certain jurisdictions, which may diminish the value of intellectual property rights in those jurisdictions and negatively impact our business.</w:t>
      </w:r>
    </w:p>
    <w:p>
      <w:pPr>
        <w:spacing w:after="0" w:line="124"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or our licensors have not pursued or maintained, and may not pursue or maintain in the future, patent protection for our product candidates in every country or territory in which we may sell our products, if approved. Filing, prosecuting and defending patents covering product candidates in all countries and jurisdictions throughout the world would be prohibitively expensive and our licensors’ or collaboration partners’ intellectual property rights in some countries outside of, for instance, the member states of the European Patent Convention and the United States, could be less extensive than those in the member states of the European Patent Convention and the United States. Consequently, we may not be able to prevent third parties from practicing our inventions in all countries, or from selling therapies or importing therapeutic compositions made using our inventions in and into, for instance, the member states of the European Patent Convention and the United States, or other jurisdictions. In addition, we may decide to abandon national and regional patent applications before grant. Furthermore, the grant proceeding of each national/regional patent is an independent proceeding which may lead to situations in which applications might in some jurisdictions be refused by the relevant patent offices, while granted by others. It is also quite common that depending on the country, the scope of patent protection may vary for the same product candidate or technology.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Competitors may use our and our licensors’ or collaboration partners’ technologies in jurisdictions where we have not obtained patent protection to develop their own therapies and, further, may export otherwise infringing therapies to territories where we and our licensors or collaboration partners have patent protection, but where enforcement is not as strong as in other jurisdictions. These therapies may compete with GH001, GH002, GH003 or any future product candidates, and our and our licensors’ or collaboration partners’ patents or other intellectual property rights may not be effective or sufficient to prevent them from so competing.</w:t>
      </w:r>
    </w:p>
    <w:p>
      <w:pPr>
        <w:spacing w:after="0" w:line="18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in, for instance, the member states of the European Patent Convention and the United States, and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8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or collaboration partners is forced to grant a license to third parties with respect to any patents relevant to our business, our competitive position may be impaired and our business and results of operations may be adversely affected.</w:t>
      </w:r>
    </w:p>
    <w:p>
      <w:pPr>
        <w:spacing w:after="0" w:line="18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Proceedings to enforce our and our licensors’ or collaboration partners’ patent rights in foreign jurisdictions could result in substantial costs and divert our and our licensors’ or collaboration partners’ efforts and attention from other aspects of our business, regardless of whether we or our licensors or collaboration partners are successful, and could put our and our licensors’ or collaboration partners’ patents at risk of being invalidated or interpreted narrowly. In addition, such proceedings could put our and our licensors’ or collaboration partners’ patent applications at risk of not issuing and could provoke third parties to assert claims against us or our licensors or collaboration partners. We or our licensors or collaboration partners may not prevail in any lawsuits that we or our licensors or collaboration partners initiate, and the damages or other remedies awarded, if any, may not be commercially meaningful. Any of the foregoing could have a material adverse effect on our business, financial condition, results of operations, and prospects.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left="180" w:right="140"/>
        <w:spacing w:after="0" w:line="286" w:lineRule="auto"/>
        <w:rPr>
          <w:sz w:val="20"/>
          <w:szCs w:val="20"/>
          <w:color w:val="auto"/>
        </w:rPr>
      </w:pPr>
      <w:r>
        <w:rPr>
          <w:rFonts w:ascii="Arial" w:cs="Arial" w:eastAsia="Arial" w:hAnsi="Arial"/>
          <w:sz w:val="17"/>
          <w:szCs w:val="17"/>
          <w:b w:val="1"/>
          <w:bCs w:val="1"/>
          <w:i w:val="1"/>
          <w:iCs w:val="1"/>
          <w:color w:val="auto"/>
        </w:rPr>
        <w:t>We rely on third parties to assist in conducting our nonclinical studies and clinical trials. If they do not perform satisfactorily, we may not be able to initiate new clinical trials, successfully complete clinical trials, obtain regulatory approval or commercialize our product candidates, or such approval or commercialization may be delayed, and our business could be substantially harmed.</w:t>
      </w:r>
    </w:p>
    <w:p>
      <w:pPr>
        <w:spacing w:after="0" w:line="16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relied upon and plan to continue to rely upon third parties, such as laboratories, CROs, clinical data management organizations, medical institutions, clinical investigators and consultants, to organize, support or conduct our nonclinical studies and clinical trials and expect to rely on these third parties to conduct nonclinical studies and clinical trials of any other product candidate that we develop. Any of these third parties may terminate their engagements with us under certain circumstances. We may not be able to enter into alternative arrangements or do so on commercially reasonable terms. In addition, there is a natural transition period when a new CRO begins work. As a result, delays may occur, which could negatively impact our ability to meet our expected clinical development timelines and harm our business, financial condition and prospects.</w:t>
      </w:r>
    </w:p>
    <w:p>
      <w:pPr>
        <w:spacing w:after="0" w:line="178"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Although our reliance on these third parties for nonclinical and clinical development activities limits our control over these activities, we remain responsible for ensuring that each of our nonclinical studies and clinical trials is conducted in accordance with the applicable protocol, legal and regulatory requirements and scientific standards. Moreover, human clinical research must comply with GCPs for conducting, recording and reporting the results of clinical trials to assure that data and reported results are credible and accurate and that the rights, integrity and confidentiality of trial participants are protected. Regulatory authorities enforce these GCPs through periodic inspections of trial sponsors, principal investigators, clinical trial sites and IRBs. If we or our third-party contractors fail to comply with applicable GCPs, the clinical data generated in our clinical trials may be deemed unreliable and the regulatory authorities may require us to perform additional clinical trials before approving our product candidates, which would delay the regulatory approval process. We cannot be certain that, upon inspection, a regulatory authority will determine that any of our clinical trials comply with GCPs.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outside contractors may not assign as great a priority to our programs or pursue them as diligently as we would if we were undertaking such programs ourselves.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spacing w:after="0" w:line="18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If our relationships with any third parties conducting our studies are terminated, we may be unable to enter into arrangements with alternative third parties on commercially reasonable terms, or at all. Switching or adding third parties to conduct our studies involves substantial cost and requires extensive management time and focus. In addition, there is a natural transition period when a new third party commences work. As a result, delays occur, which can materially impact our ability to meet our desired nonclinical and clinical development timelines. Although we carefully manage our relationships with third parties conducting our studies, we cannot assure that we will not encounter similar challenges or delays in the future or that these delays or challenges will not have a material and adverse effect on our business, financial condition and results of operations.</w:t>
      </w:r>
    </w:p>
    <w:p>
      <w:pPr>
        <w:spacing w:after="0" w:line="178"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We also rely on other third parties to store and distribute drug supplies for our clinical trials. Any performance failure on the part of our distributors could delay clinical development or regulatory approval of our product candidates or commercialization of any resulting products, producing additional losses and depriving us of potential product revenue.</w:t>
      </w:r>
    </w:p>
    <w:p>
      <w:pPr>
        <w:spacing w:after="0" w:line="184" w:lineRule="exact"/>
        <w:rPr>
          <w:sz w:val="20"/>
          <w:szCs w:val="20"/>
          <w:color w:val="auto"/>
        </w:rPr>
      </w:pPr>
    </w:p>
    <w:p>
      <w:pPr>
        <w:ind w:left="180" w:right="20"/>
        <w:spacing w:after="0" w:line="272" w:lineRule="auto"/>
        <w:rPr>
          <w:sz w:val="20"/>
          <w:szCs w:val="20"/>
          <w:color w:val="auto"/>
        </w:rPr>
      </w:pPr>
      <w:r>
        <w:rPr>
          <w:rFonts w:ascii="Arial" w:cs="Arial" w:eastAsia="Arial" w:hAnsi="Arial"/>
          <w:sz w:val="17"/>
          <w:szCs w:val="17"/>
          <w:b w:val="1"/>
          <w:bCs w:val="1"/>
          <w:i w:val="1"/>
          <w:iCs w:val="1"/>
          <w:color w:val="auto"/>
        </w:rPr>
        <w:t>The development and manufacture of our active pharmaceutical ingredients, product candidates and medical devices required to deliver such product candidates is complex, and we may encounter difficulties during further development or in production. We currently rely completely on third parties to develop, formulate and manufacture our nonclinical study and clinical trial supplies. The development and commercialization of any of our active pharmaceutical ingredients, product candidates and medical devices required to deliver such product candidates could be stopped, delayed or made less profitable if those third parties fail to provide us with sufficient quantities of such drug supplies or fail to do so at acceptable quality levels, including in accordance with rigorously enforced regulatory requirements or contractual obligations, and our operations could be harmed as a result.</w:t>
      </w:r>
    </w:p>
    <w:p>
      <w:pPr>
        <w:spacing w:after="0" w:line="17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processes involved in developing and manufacturing our drug substance, product candidates and medical devices required to deliver such product candidates are complex, expensive, highly regulated and subject to multiple risks. Further, as drug substance, product candidates and medical devices required to deliver such product candidates are developed through nonclinical studies, from early-stage clinical trials to late-stage clinical trials towards approval and commercialization, it is common that various aspects of the drug substance, product candidates and medical devices required to deliver such product candidates, such as technical specifications, design, features and manufacturing methods, are altered along the way in an effort to optimize performance, processes and results and to fulfill regulatory requirements, which are stricter for late-stage clinical trials and commercial manufacture than for early-stage trials. We are currently implementing such changes, which carries the risk that they will not achieve the intended objectives, or could lead to delays, and any of these changes could require the conduct of bridging studies and could cause our product candidates to perform differently and affect the results of planned clinical trials or other future clinical trials. Additionally, the manner in which we currently manufacture our drug substance and product candidates and medical devices required to deliver such product candidates may not fulfill regulatory requirements for late-stage clinical trials and for commercial use, and there can be no assurance that we will be able to manufacture our drug substance and product candidates in a manner that would fulfill such regulatory requirements in a timely manner, or at all. We have limited experience in drug formulation or manufacturing. Currently, we rely on an extensive network of consultants and contract manufacturers, and in some cases sole source suppliers, for the production of our drug substance, product candidates and medical devices required to deliver such product candidates for current and planned clinical trials.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order to conduct clinical trials of our product candidates, or supply commercial products, if approved, we will need to manufacture them and the drug substance contained in our product candidates in large quantities. Our CDMOs may be unable to successfully increase the manufacturing capacity for our drug substance and any of our product candidates in a timely or cost-effective manner, or at all. In addition, quality issues may arise during scale-up activities. If our CDMOs are unable to successfully scale up the manufacture of our drug substance or product candidates in sufficient quality and quantity, the development, testing and clinical trials of that product candidate may be delayed or become infeasible, and regulatory approval or commercial launch of any resulting product may be delayed or not obtained, which could significantly harm our business. The same risk would apply to our internal manufacturing facilities, should we decide to build internal manufacturing capacity in the future. In addition, building internal manufacturing capacity would carry significant risks in terms of being able to plan, design and execute on a complex project to build manufacturing facilities in a timely and cost-efficient manner, and the resources associated with ensuring the ongoing regulatory compliance of such manufacturing facilities would be significant.</w:t>
      </w:r>
    </w:p>
    <w:p>
      <w:pPr>
        <w:spacing w:after="0" w:line="16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addition, the manufacturing process for any products that we may develop is subject to FDA, EMA, and comparable foreign regulatory authority approval processes and continuous oversight, and we will need to contract with manufacturers who can meet all applicable FDA, EMA and foreign regulatory authority requirements, including complying with cGMPs on an ongoing basis. Although our agreements with our CDMOs require them to perform according to certain cGMP requirements such as those relating to quality control, quality assurance and qualified personnel, we cannot control the ability of our CDMOs to implement and maintain these standards. If we or our third-party manufacturers are unable to reliably produce products to specifications acceptable to the FDA, EMA or other comparable foreign regulatory authorities or maintain a compliance status acceptable to the FDA, EMA, or other comparable foreign regulatory authorities, we may not obtain or maintain the approvals we need to commercialize such products. Even if we obtain regulatory approval for any of our product candidates, there is no assurance that either we or our CDMOs will be able to manufacture the approved product to specifications acceptable to the FDA, EMA, or other comparable foreign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increase our cost of goods and have an adverse effect on our business, financial condition, results of operations and prospects.</w:t>
      </w:r>
    </w:p>
    <w:p>
      <w:pPr>
        <w:spacing w:after="0" w:line="168" w:lineRule="exact"/>
        <w:rPr>
          <w:sz w:val="20"/>
          <w:szCs w:val="20"/>
          <w:color w:val="auto"/>
        </w:rPr>
      </w:pPr>
    </w:p>
    <w:p>
      <w:pPr>
        <w:ind w:left="180" w:right="40"/>
        <w:spacing w:after="0" w:line="342" w:lineRule="auto"/>
        <w:rPr>
          <w:sz w:val="20"/>
          <w:szCs w:val="20"/>
          <w:color w:val="auto"/>
        </w:rPr>
      </w:pPr>
      <w:r>
        <w:rPr>
          <w:rFonts w:ascii="Arial" w:cs="Arial" w:eastAsia="Arial" w:hAnsi="Arial"/>
          <w:sz w:val="16"/>
          <w:szCs w:val="16"/>
          <w:b w:val="1"/>
          <w:bCs w:val="1"/>
          <w:i w:val="1"/>
          <w:iCs w:val="1"/>
          <w:color w:val="auto"/>
        </w:rPr>
        <w:t>If any third-party manufacturer of our product candidates is unable to increase the scale of its production of our product candidates, and/or increase the product yield of its manufacturing, then our costs to manufacture the product may increase and commercialization may be delayed.</w:t>
      </w:r>
    </w:p>
    <w:p>
      <w:pPr>
        <w:spacing w:after="0" w:line="124"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In order to produce sufficient quantities to meet the demand for clinical trials and, if approved, subsequent commercialization of our product candidates that we may develop, our third-party manufacturers will be required to increase their production and optimize their manufacturing processes while maintaining the quality of the product.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quality of the product, then we may not be able to meet the demands of clinical trials or market demands, which could decrease our ability to generate profits and have a material adverse impact on our business and results of operation.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right="140"/>
        <w:spacing w:after="0" w:line="259" w:lineRule="auto"/>
        <w:rPr>
          <w:sz w:val="20"/>
          <w:szCs w:val="20"/>
          <w:color w:val="auto"/>
        </w:rPr>
      </w:pPr>
      <w:r>
        <w:rPr>
          <w:rFonts w:ascii="Arial" w:cs="Arial" w:eastAsia="Arial" w:hAnsi="Arial"/>
          <w:sz w:val="18"/>
          <w:szCs w:val="18"/>
          <w:b w:val="1"/>
          <w:bCs w:val="1"/>
          <w:i w:val="1"/>
          <w:iCs w:val="1"/>
          <w:color w:val="auto"/>
        </w:rPr>
        <w:t>We depend on third-party suppliers for key raw materials used in our manufacturing processes, as well as for the vaporization device used to administer GH001, and we expect to depend on third-party suppliers for the devices required for administration of GH002 and GH003, some of which are our sole source of supply, and the loss of these third-party suppliers or their inability to supply us with adequate raw materials or medical devices could harm our business.</w:t>
      </w:r>
    </w:p>
    <w:p>
      <w:pPr>
        <w:spacing w:after="0" w:line="18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rely on our CDMOs to purchase from third-party suppliers the materials necessary to produce our product candidates for our clinical trials. We do not have, nor do we expect to enter into, any agreements for the commercial production of these raw materials, and we do not expect to have any control over the process or timing of our CDMOs’ acquisition of raw materials needed to produce our product candidates. Furthermore, we currently purchase the vaporization device with which we administer GH001 from a single third-party manufacturer, Storz &amp; Bickel, Tuttlingen. We do not have a commercial supply agreement with such third-party manufacturer. Any significant delay in the supply of a product candidate, the raw material components thereof or any device necessary to administer our products for an ongoing clinical trial due to a manufacturer’s need to replace a third-party supplier of raw materials or medical devices could considerably delay completion of our clinical trials, product testing and potential regulatory approval of our product candidates. Additionally, if our future manufacturers or we are unable to purchase these raw materials to commercially produce any of our product candidates that gains regulatory approvals, or if we are unable to purchase or manufacture medical devices with which we administer any of our product candidates, the commercial launch of our product candidates would be delayed or there would be a shortage in supply, which would impair our ability to generate revenues from the sale of our product candidates.</w:t>
      </w:r>
    </w:p>
    <w:p>
      <w:pPr>
        <w:spacing w:after="0" w:line="182"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Furthermore, for those third-party suppliers who are our sole source of supply of certain materials, we may not have arrangements in place for a redundant or second-source supply of any such materials or medical devices in the event any of our current suppliers cease their operations for any reason. Establishing additional or replacement suppliers for the raw materials used in our product candidates or medical devices used to administer our product candidates, if required, may not be accomplished quickly. If we are able to find a replacement supplier, such replacement supplier would need to be qualified and may require additional regulatory inspection or approval, which could result in further delay.</w:t>
      </w:r>
    </w:p>
    <w:p>
      <w:pPr>
        <w:spacing w:after="0" w:line="176" w:lineRule="exact"/>
        <w:rPr>
          <w:sz w:val="20"/>
          <w:szCs w:val="20"/>
          <w:color w:val="auto"/>
        </w:rPr>
      </w:pPr>
    </w:p>
    <w:p>
      <w:pPr>
        <w:ind w:left="180"/>
        <w:spacing w:after="0" w:line="381" w:lineRule="auto"/>
        <w:rPr>
          <w:sz w:val="20"/>
          <w:szCs w:val="20"/>
          <w:color w:val="auto"/>
        </w:rPr>
      </w:pPr>
      <w:r>
        <w:rPr>
          <w:rFonts w:ascii="Arial" w:cs="Arial" w:eastAsia="Arial" w:hAnsi="Arial"/>
          <w:sz w:val="15"/>
          <w:szCs w:val="15"/>
          <w:b w:val="1"/>
          <w:bCs w:val="1"/>
          <w:i w:val="1"/>
          <w:iCs w:val="1"/>
          <w:color w:val="auto"/>
        </w:rPr>
        <w:t>We expect to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10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are currently seeking and may continue to seek third-party collaborators for the research, development and commercialization of certain of the product candidates we may develop. Our likely collaborators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Collaborations involving our research programs, or any product candidates we may develop, pose the following risks to us:</w:t>
      </w:r>
    </w:p>
    <w:p>
      <w:pPr>
        <w:spacing w:after="0" w:line="225" w:lineRule="exact"/>
        <w:rPr>
          <w:sz w:val="20"/>
          <w:szCs w:val="20"/>
          <w:color w:val="auto"/>
        </w:rPr>
      </w:pPr>
    </w:p>
    <w:p>
      <w:pPr>
        <w:ind w:left="660" w:right="44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generally have significant discretion in determining the amount and timing of efforts and resources that they will apply to these collaborations;</w:t>
      </w:r>
    </w:p>
    <w:p>
      <w:pPr>
        <w:spacing w:after="0" w:line="170" w:lineRule="exact"/>
        <w:rPr>
          <w:rFonts w:ascii="Arial" w:cs="Arial" w:eastAsia="Arial" w:hAnsi="Arial"/>
          <w:sz w:val="18"/>
          <w:szCs w:val="18"/>
          <w:color w:val="auto"/>
        </w:rPr>
      </w:pPr>
    </w:p>
    <w:p>
      <w:pPr>
        <w:ind w:left="660" w:right="140" w:hanging="328"/>
        <w:spacing w:after="0" w:line="311"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collaborators may not properly obtain, maintain, enforce or defend intellectual property or proprietary rights relating to our product candidates or research programs, or may use our proprietary information in such a way as to expose us to potential litigation or other intellectual property-related proceedings, including proceedings challenging the scope, ownership, validity and enforceability of our intellectual property;</w:t>
      </w:r>
    </w:p>
    <w:p>
      <w:pPr>
        <w:spacing w:after="0" w:line="148" w:lineRule="exact"/>
        <w:rPr>
          <w:rFonts w:ascii="Arial" w:cs="Arial" w:eastAsia="Arial" w:hAnsi="Arial"/>
          <w:sz w:val="16"/>
          <w:szCs w:val="16"/>
          <w:color w:val="auto"/>
        </w:rPr>
      </w:pPr>
    </w:p>
    <w:p>
      <w:pPr>
        <w:ind w:left="660" w:right="240" w:hanging="328"/>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or research programs that results from our collaboration with them, and in such cases, we may not have the exclusive right to commercialize such intellectual property or such product candidates or research programs;</w:t>
      </w:r>
    </w:p>
    <w:p>
      <w:pPr>
        <w:spacing w:after="0" w:line="183" w:lineRule="exact"/>
        <w:rPr>
          <w:rFonts w:ascii="Arial" w:cs="Arial" w:eastAsia="Arial" w:hAnsi="Arial"/>
          <w:sz w:val="18"/>
          <w:szCs w:val="18"/>
          <w:color w:val="auto"/>
        </w:rPr>
      </w:pPr>
    </w:p>
    <w:p>
      <w:pPr>
        <w:ind w:left="660" w:right="78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control certain interactions with regulatory authorities, which may impact our ability to obtain and maintain regulatory approval of our product candidates;</w:t>
      </w:r>
    </w:p>
    <w:p>
      <w:pPr>
        <w:spacing w:after="0" w:line="170" w:lineRule="exact"/>
        <w:rPr>
          <w:rFonts w:ascii="Arial" w:cs="Arial" w:eastAsia="Arial" w:hAnsi="Arial"/>
          <w:sz w:val="18"/>
          <w:szCs w:val="18"/>
          <w:color w:val="auto"/>
        </w:rPr>
      </w:pPr>
    </w:p>
    <w:p>
      <w:pPr>
        <w:ind w:left="660" w:right="240" w:hanging="328"/>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candidates or research programs or that result in costly litigation or arbitration that diverts management attention and resources;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decide to not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18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0" w:lineRule="exact"/>
        <w:rPr>
          <w:rFonts w:ascii="Arial" w:cs="Arial" w:eastAsia="Arial" w:hAnsi="Arial"/>
          <w:sz w:val="18"/>
          <w:szCs w:val="18"/>
          <w:color w:val="auto"/>
        </w:rPr>
      </w:pPr>
    </w:p>
    <w:p>
      <w:pPr>
        <w:jc w:val="both"/>
        <w:ind w:left="660" w:right="6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or research programs if the collaborators believe that competitive products are more likely to be successfully developed or can be commercialized under terms that are more economically attractive than ours;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collaborators may restrict us from researching, developing or commercializing certain products or technologies without their involvement;</w:t>
      </w:r>
    </w:p>
    <w:p>
      <w:pPr>
        <w:spacing w:after="0" w:line="236" w:lineRule="exact"/>
        <w:rPr>
          <w:rFonts w:ascii="Arial" w:cs="Arial" w:eastAsia="Arial" w:hAnsi="Arial"/>
          <w:sz w:val="17"/>
          <w:szCs w:val="17"/>
          <w:color w:val="auto"/>
        </w:rPr>
      </w:pPr>
    </w:p>
    <w:p>
      <w:pPr>
        <w:ind w:left="660" w:right="1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grant sublicenses to our technology or product candidates or undergo a change of control and the sublicensees or new owners may decide to take the collaboration in a direction which is not in our best interest;</w:t>
      </w:r>
    </w:p>
    <w:p>
      <w:pPr>
        <w:spacing w:after="0" w:line="170" w:lineRule="exact"/>
        <w:rPr>
          <w:rFonts w:ascii="Arial" w:cs="Arial" w:eastAsia="Arial" w:hAnsi="Arial"/>
          <w:sz w:val="18"/>
          <w:szCs w:val="18"/>
          <w:color w:val="auto"/>
        </w:rPr>
      </w:pPr>
    </w:p>
    <w:p>
      <w:pPr>
        <w:jc w:val="both"/>
        <w:ind w:left="660" w:right="400" w:hanging="328"/>
        <w:spacing w:after="0" w:line="34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collaborators may become bankrupt, which may significantly delay our research or development programs, or may cause us to lose access to valuable technology, know-how or intellectual property of the collaborator relating to our products, product candidates or research programs;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shareholders or disrupt our management and business;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our collaborators do not satisfy their obligations under our agreements with them, or if they terminate our collaborations with them, we may not be able to develop or commercialize product candidates as planned;</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collaborations may require us to share in development and commercialization costs pursuant to budgets that we do not fully control and our failure to share in such costs could have a detrimental impact on the collaboration or our ability to share in revenue generated under the collaboration;</w:t>
      </w:r>
    </w:p>
    <w:p>
      <w:pPr>
        <w:spacing w:after="0" w:line="123" w:lineRule="exact"/>
        <w:rPr>
          <w:rFonts w:ascii="Arial" w:cs="Arial" w:eastAsia="Arial" w:hAnsi="Arial"/>
          <w:sz w:val="16"/>
          <w:szCs w:val="16"/>
          <w:color w:val="auto"/>
        </w:rPr>
      </w:pPr>
    </w:p>
    <w:p>
      <w:pPr>
        <w:ind w:left="660" w:right="80" w:hanging="328"/>
        <w:spacing w:after="0" w:line="34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collaborations may be terminated in their entirety or with respect to certain product candidates or technologies and, if so terminated, may result in a need for additional capital to pursue further development or commercialization of the applicable product candidates or technologies; and</w:t>
      </w:r>
    </w:p>
    <w:p>
      <w:pPr>
        <w:spacing w:after="0" w:line="123" w:lineRule="exact"/>
        <w:rPr>
          <w:rFonts w:ascii="Arial" w:cs="Arial" w:eastAsia="Arial" w:hAnsi="Arial"/>
          <w:sz w:val="16"/>
          <w:szCs w:val="16"/>
          <w:color w:val="auto"/>
        </w:rPr>
      </w:pPr>
    </w:p>
    <w:p>
      <w:pPr>
        <w:ind w:left="660" w:right="220" w:hanging="328"/>
        <w:spacing w:after="0" w:line="286"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development or commercialization program under such collaboration could be delayed, diminished or terminated.</w:t>
      </w:r>
    </w:p>
    <w:p>
      <w:pPr>
        <w:spacing w:after="0" w:line="16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we enter into collaborations to develop and potentially commercialize any product candidates, we may not be able to realize the benefit of such transactions if we or our collaborator elects not to exercise the rights granted under the agreement or if we or our collaborator are unable to successfully integrate a product candidate into existing operations and company culture. The failure to develop and commercialize a product candidate pursuant to our agreements with our current or future collaborators could prevent us from receiving future payments under such agreements, which could negatively impact our revenues.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Many of the risks relating to product development, regulatory approval, and commercialization described in this “Item 3. Key Information—D. Risk Factors” section also apply to the activities of our collaborators and any negative impact on our collaborators may adversely affect us.</w:t>
      </w:r>
    </w:p>
    <w:p>
      <w:pPr>
        <w:spacing w:after="0" w:line="182" w:lineRule="exact"/>
        <w:rPr>
          <w:sz w:val="20"/>
          <w:szCs w:val="20"/>
          <w:color w:val="auto"/>
        </w:rPr>
      </w:pPr>
    </w:p>
    <w:p>
      <w:pPr>
        <w:ind w:left="180" w:right="700"/>
        <w:spacing w:after="0" w:line="277" w:lineRule="auto"/>
        <w:rPr>
          <w:sz w:val="20"/>
          <w:szCs w:val="20"/>
          <w:color w:val="auto"/>
        </w:rPr>
      </w:pPr>
      <w:r>
        <w:rPr>
          <w:rFonts w:ascii="Arial" w:cs="Arial" w:eastAsia="Arial" w:hAnsi="Arial"/>
          <w:sz w:val="18"/>
          <w:szCs w:val="18"/>
          <w:b w:val="1"/>
          <w:bCs w:val="1"/>
          <w:i w:val="1"/>
          <w:iCs w:val="1"/>
          <w:color w:val="auto"/>
        </w:rPr>
        <w:t>We may acquire businesses or products, or form strategic alliances, in the future, and we may not realize the benefits of such acquisitions or alliances.</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that, following any such acquisition, we will achieve the expected synergies to justify the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Business and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 pandemic, epidemic or outbreak of an infectious disease in Ireland or worldwide may adversely affect our business.</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If a pandemic, epidemic or outbreak of an infectious disease occurs in Ireland or worldwide our business may be adversely affected. The COVID-19 pandemic has impacted the global economy and may impact our operations, including the potential interruption of our clinical trial activities, regulatory reviews and our supply chain. For example, the COVID-19 pandemic may delay enrollment in our clinical trials due to prioritization of hospital resources toward the outbreak or other factors, and some patients may be unwilling to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 and commercialize our product candidates. Furthermore, the spread of the virus may affect the operations of key governmental agencies, such as the FDA, EMA or other comparable foreign regulatory authorities, which may delay the development or approval process for our product candidates.</w:t>
      </w:r>
    </w:p>
    <w:p>
      <w:pPr>
        <w:spacing w:after="0" w:line="192"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The spread of an infectious disease, including COVID-19, may also result in the inability of our suppliers to deliver components or raw materials on a timely basis or at all. In addition, hospitals may reduce staffing and reduce or postpone certain treatments in response to the spread of an infectious disease. Such events may result in a period of business disruption, and in reduced operations, or doctors and medical providers may be unwilling to participate in our clinical trials, any of which could materially affect our business, financial condition and results of operations. For example, due to local restrictions in the Netherlands, we were forced take a three-month break in patient recruitment in our completed Phase 1/2 clinical trial in patients with TRD in 2020. We continue to closely monitor the COVID-19 pandemic as we evolve our business continuity plans, clinical development plans and response strategy. The extent to which the COVID-19 pandemic impacts our business will depend on future developments, which are highly uncertain and cannot be predicted, including new information which may emerge concerning the severity of the novel coronavirus and the actions to contain the coronavirus or treat its impact, among others. At present, we are not experiencing significant impact or delays from the COVID-19 pandemic on our business, operations and, if approved, commercialization plans. In addition, we have taken steps to mitigate against COVID-19 pandemic-related delays, and may take additional measures, intended to help minimize the risk of the virus to our employees, including temporarily requiring all employees to work remotely, suspending all non-essential travel worldwide for our employees, and discouraging employee attendance at industry events and in-person work-related meetings, which could negatively affect our business. In particular, our remote work arrangements for employees, coupled with stay-at-home orders and quarantines, pose challenges for those employees and our information technology, or IT, systems, and extended periods of remote work arrangements could strain our business continuity plans, introduce operational risk, including cybersecurity and IT systems management risks. Finally, an ongoing pandemic may also cause the risks associated with our industry and business described herein and in our public filings to become more significant.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 significant outbreak of other infectious diseases in the future also could result in a widespread health crisis that could adversely affect the economies and financial markets worldwide, resulting in an economic downturn that could impact our business, financial condition and results of operations.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depend heavily on our executive officers, principal consultants and others, and the loss of their services would materially harm our business.</w:t>
      </w:r>
    </w:p>
    <w:p>
      <w:pPr>
        <w:spacing w:after="0" w:line="26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success depends, and will likely continue to depend, upon our ability to hire, retain the services of our current executive officers, principal consultants and others. The loss of their services might impede the achievement of our research, development and commercialization objectives. We do not maintain “key person” insurance for any of our executives or other employees.</w:t>
      </w:r>
    </w:p>
    <w:p>
      <w:pPr>
        <w:spacing w:after="0" w:line="184"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Our ability to compete in the biotechnology and pharmaceuticals industries depends upon our ability to attract and retain highly qualified managerial, scientific and medical personnel. Our industry has experienced a high rate of turnover of management personnel in recent years.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w:t>
      </w:r>
    </w:p>
    <w:p>
      <w:pPr>
        <w:spacing w:after="0" w:line="157" w:lineRule="exact"/>
        <w:rPr>
          <w:sz w:val="20"/>
          <w:szCs w:val="20"/>
          <w:color w:val="auto"/>
        </w:rPr>
      </w:pPr>
    </w:p>
    <w:p>
      <w:pPr>
        <w:ind w:right="600" w:firstLine="324"/>
        <w:spacing w:after="0" w:line="286" w:lineRule="auto"/>
        <w:rPr>
          <w:sz w:val="20"/>
          <w:szCs w:val="20"/>
          <w:color w:val="auto"/>
        </w:rPr>
      </w:pPr>
      <w:r>
        <w:rPr>
          <w:rFonts w:ascii="Arial" w:cs="Arial" w:eastAsia="Arial" w:hAnsi="Arial"/>
          <w:sz w:val="17"/>
          <w:szCs w:val="17"/>
          <w:color w:val="auto"/>
        </w:rPr>
        <w:t>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6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rely on consultants and advisors, including scientific and clinical advisors, to assist us in formulating our research and development and commercialization strategies.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187" w:lineRule="exact"/>
        <w:rPr>
          <w:sz w:val="20"/>
          <w:szCs w:val="20"/>
          <w:color w:val="auto"/>
        </w:rPr>
      </w:pPr>
    </w:p>
    <w:p>
      <w:pPr>
        <w:ind w:left="180" w:right="140"/>
        <w:spacing w:after="0" w:line="277" w:lineRule="auto"/>
        <w:rPr>
          <w:sz w:val="20"/>
          <w:szCs w:val="20"/>
          <w:color w:val="auto"/>
        </w:rPr>
      </w:pPr>
      <w:r>
        <w:rPr>
          <w:rFonts w:ascii="Arial" w:cs="Arial" w:eastAsia="Arial" w:hAnsi="Arial"/>
          <w:sz w:val="18"/>
          <w:szCs w:val="18"/>
          <w:b w:val="1"/>
          <w:bCs w:val="1"/>
          <w:i w:val="1"/>
          <w:iCs w:val="1"/>
          <w:color w:val="auto"/>
        </w:rPr>
        <w:t>We only have a limited number of employees to manage and operate our business. If we are unable to hire or to retain adequate personnel, then we may not be able to meet our operational goals.</w:t>
      </w:r>
    </w:p>
    <w:p>
      <w:pPr>
        <w:spacing w:after="0" w:line="17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As of December 31, 2021, we had fourteen employees and a large part of our development efforts remains outsourced to consultants, CMOs and CROs, aiming to optimize cash utilization and to manage and operate our business in a highly efficient manner. We cannot ensure that we will be able to hire and/or retain adequate staffing levels to develop GH001, GH002 and GH003 or other potential product candidates, or to run our operations and/or to accomplish all of the objectives that we otherwise would seek to accomplish.</w:t>
      </w:r>
    </w:p>
    <w:p>
      <w:pPr>
        <w:spacing w:after="0" w:line="187" w:lineRule="exact"/>
        <w:rPr>
          <w:sz w:val="20"/>
          <w:szCs w:val="20"/>
          <w:color w:val="auto"/>
        </w:rPr>
      </w:pPr>
    </w:p>
    <w:p>
      <w:pPr>
        <w:ind w:left="180" w:right="340"/>
        <w:spacing w:after="0" w:line="381" w:lineRule="auto"/>
        <w:rPr>
          <w:sz w:val="20"/>
          <w:szCs w:val="20"/>
          <w:color w:val="auto"/>
        </w:rPr>
      </w:pPr>
      <w:r>
        <w:rPr>
          <w:rFonts w:ascii="Arial" w:cs="Arial" w:eastAsia="Arial" w:hAnsi="Arial"/>
          <w:sz w:val="15"/>
          <w:szCs w:val="15"/>
          <w:b w:val="1"/>
          <w:bCs w:val="1"/>
          <w:i w:val="1"/>
          <w:iCs w:val="1"/>
          <w:color w:val="auto"/>
        </w:rPr>
        <w:t>Our employees, independent contractors, consultants, collaborators and CROs may engage in misconduct or other improper activities, including non-compliance with regulatory standards and requirements, which could cause significant liability for us and harm our reputation.</w:t>
      </w:r>
    </w:p>
    <w:p>
      <w:pPr>
        <w:spacing w:after="0" w:line="10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are exposed to the risk that our employees, independent contractors, consultants, collaborators and CROs may engage in fraudulent conduct or other illegal activity. Misconduct by those parties could include intentional, reckless and/or negligent conduct or disclosure of unauthorized activities to us that violates:</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authorities, including those laws requiring the reporting of true, complete and accurate information to such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manufacturing standards;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federal and state healthcare fraud and abuse laws and regulations and similar laws and regulations established and enforced by comparable foreign regulatory authorities;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laws that require the accurate reporting of financial information or data.</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Activities subject to these laws also involve the improper use or misrepresentation of information obtained in the course of clinical trials, creating fraudulent data in our nonclinical studies or clinical trials or illegal misappropriation of product materials, which could result in regulatory sanctions and serious harm to our reputation. It is not always possible to identify and deter misconduct, and the precautions we take to detect and prevent this kind of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disgorgement, integrity oversight and reporting obligations, possible exclusion from participation in the United States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i w:val="1"/>
          <w:iCs w:val="1"/>
          <w:color w:val="auto"/>
        </w:rPr>
        <w:t>We expect to expand our organization, and as a result, we may encounter difficulties in managing our growth, which could disrupt our operations.</w:t>
      </w:r>
    </w:p>
    <w:p>
      <w:pPr>
        <w:spacing w:after="0" w:line="24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regulatory affairs and sales, marketing and distribution, as well as to support our public company operations. To manage these growth activities, we must continue to implement and improve our managerial, operational and financial systems, expand our facilities and continue to recruit and train additional qualified personnel. Our management may need to devote a significant amount of its attention to managing these growth activities. Moreover, our expected growth could require us to relocate to a different geographic area of Ireland. Due to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existing and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Our business is subject to risks associated with conducting business internationally. Accordingly, our future results could be harmed by a variety of factors, including:</w:t>
      </w:r>
    </w:p>
    <w:p>
      <w:pPr>
        <w:spacing w:after="0" w:line="17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in foreign economies and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differing and changing regulatory requirements, price controls and reimbursement regimes;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potentially reduced protection for our intellectual property rights;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regulations and customs, tariffs and trade barriers;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currency exchange rates and currency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governments;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negative consequences from changes in, including the interpretation of, tax laws;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 and European Economic Area;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natural disasters including earthquakes, typhoons, floods and fires, or health epidemics such as COVID-19;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cyber-attacks, which are growing in frequency, sophistication and intensity, and are becoming increasingly difficult to detect.</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Moreover, at the end of 2021 and into 2022, tensions between both Europe and Russia and the United States and Russia escalated when Russia amassed large numbers of military ground forces and support personnel on the Ukraine-Russia border and, in February 2022, Russia invaded Ukraine. In response, the North Atlantic Treaty Organization, or NATO, has deployed additional military forces to Eastern Europe, including to Lithuania, and the Biden administration announced certain sanctions against Russia. The invasion of Ukraine and the retaliatory measures that have been taken, or could be taken in the future, including the imposition of new and stricter sanctions, by the United States, NATO, the European Union , the United Kingdom and other countries and organizations against officials, individuals, regions and industries in Russia or Ukraine have created global security concerns that could result in a regional conflict and otherwise have a lasting impact on regional and global economies, any or all of which could disrupt our supply chain, adversely affect our ability to conduct ongoing and future clinical trials of our product candidates, and adversely affect our ability to commercialize our products (subject to regulatory approval) in any region impacted by these developments.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These and other risks associated with our planned international operations may materially adversely affect our ability to attain profitable operations.</w:t>
      </w: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right="160"/>
        <w:spacing w:after="0" w:line="263" w:lineRule="auto"/>
        <w:rPr>
          <w:sz w:val="20"/>
          <w:szCs w:val="20"/>
          <w:color w:val="auto"/>
        </w:rPr>
      </w:pPr>
      <w:r>
        <w:rPr>
          <w:rFonts w:ascii="Arial" w:cs="Arial" w:eastAsia="Arial" w:hAnsi="Arial"/>
          <w:sz w:val="18"/>
          <w:szCs w:val="18"/>
          <w:b w:val="1"/>
          <w:bCs w:val="1"/>
          <w:i w:val="1"/>
          <w:iCs w:val="1"/>
          <w:color w:val="auto"/>
        </w:rPr>
        <w:t>Cyber-attacks or other failures in our telecommunications or IT systems, or those of our collaborators, CROs, third-party logistics or other service providers, distributors, suppliers or other contractors or consultants, could result in information theft, data corruption and significant disruption or unavailability of our business operations.</w:t>
      </w:r>
    </w:p>
    <w:p>
      <w:pPr>
        <w:spacing w:after="0" w:line="184"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We, our collaborators, our CROs, third-party logistics and service providers, distributors, suppliers and other contractors and consultants utilize IT systems and networks to process, transmit and store electronic information in connection with our business activities. If our privacy, data protection, or information security measures (or those of any third parties that handle our sensitive information) are inadequate or are breached as a result of third-party action, employee or contractor error, malfeasance, malware, system error, software bugs or defects in our products, trickery, process failure or otherwise, third parties gaining access to employee accounts using stolen or inferred credentials, computer malware, viruses, spamming, phishing attacks or other means, and deliberate attacks and attempts to gain unauthorized access to computer systems and networks, and, as a result, there is improper disclosure of, or someone obtains unauthorized access to sensitive information, including personally identifiable information or protected health information, or if we suffer a ransomware or advanced persistent threat attack, or if any of the foregoing is reported or perceived to have occurred, our reputation and business could be damaged, we could incur significant costs associated with remediation and the implementation of additional security measures, we may incur significant liability and financial loss, and be subject to regulatory scrutiny, investigations, proceedings, lawsuits and penalties. While we have not experienced any such system failure, accident or security breach to date, if such an event were to occur and cause interruptions in our operations, it could result in a material disruption of our drug development programs. These threats pose a risk to the security of our, our collaborators’, our CROs’, third-party logistics and service providers’, distributors’, suppliers’ and other contractors’ and consultants’ systems and networks, and the confidentiality, availability and integrity of our data. There can be no assurance that we will be successful in preventing cyber-attacks or successfully mitigating their effects. Similarly, there can be no assurance that our collaborators, CROs, third-party logistics providers, distributors and other contractors and consultants will be successful in protecting our clinical and other data that is stored on their systems. Any cyber-attack, data breach, inaccessibility or destruction or loss of data could result in a violation of applicable U.S. and international privacy, data protection and other laws, and subject us to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 and could have a material adverse effect on our business and prospects. For example, the loss of clinical trial data from completed, ongoing or planned clinical trials for any of our product candidates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and may incur significant additional expense to implement further data protection measures.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Ownership of Our Ordinary Shares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An active, liquid trading market for our ordinary shares may not develop, which may limit your ability to sell your shares.</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initial public offering occurred in June 2021. Therefore, there has been a public market for our ordinary shares for a short period of time. A public trading market having the desirable characteristics of depth, liquidity and orderliness depends upon the existence of willing buyers and sellers at any given time, such existence being dependent upon the individual decisions of buyers and sellers over which neither we nor any market maker has control. The failure of an active and liquid trading market to develop and continue would likely have a material adverse effect on the value of our ordinary shares. An inactive market may also impair our ability to raise capital to continue to fund operations by issuing shares and may impair our ability to acquire other companies or technologies by using our shares as consideration.</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market price of our ordinary shares may be volatile and you could lose all or part of your investment.</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price of the securities of publicly traded emerging pharmaceutical and drug discovery and development companies has been highly volatile and is likely to remain highly volatile in the future. The market price of our ordinary shares may fluctuate significantly due to a variety of factors, including the following:</w:t>
      </w:r>
    </w:p>
    <w:p>
      <w:pPr>
        <w:spacing w:after="0" w:line="184"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trials by us, strategic partners or competitors;</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or commercialization of our GH001, GH002 and GH003 product candidates or any future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entry into strategic relationships on terms that are not deemed to be favorable to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technological innovations or commercial therapeutic introductions by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government regulations and healthcare payment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 and litigation matters;</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GH001, GH002 and GH003 product candidates or any future product candidates;</w:t>
      </w:r>
    </w:p>
    <w:p>
      <w:pPr>
        <w:sectPr>
          <w:pgSz w:w="11900" w:h="16838" w:orient="portrait"/>
          <w:cols w:equalWidth="0" w:num="1">
            <w:col w:w="11240"/>
          </w:cols>
          <w:pgMar w:left="320" w:top="121" w:right="33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negative publicity or public perception of the use of 5-MeO-DMT as a medical treatment;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financing or other corporate transactions, or the failure to obtain financing or enter into other corporate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trading volume of our ordinary shares on the Nasdaq Global Market (referred to herein as Nasdaq);</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sales of our ordinary shares by us, members of our senior management and directors or our shareholders or the anticipation that such sales may occur in the future;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overall market volatility in the United States, the United Kingdom or the European Union as a result of the COVID-19 pandemic or other pandemics or similar events;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events and factors, many of which are beyond our control.</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These and other market and industry factors may cause the market price and demand for our securities to fluctuate substantially, regardless of our actual operating performance, which may limit or prevent investors from readily selling their ordinary shares and may otherwise negatively affect the liquidity of our ordinary shares. In addition, the stock market in general, and pharmaceutical companies in particular, have experienced extreme price and volume fluctuations that have often been unrelated or disproportionate to the operating performance of these companies, including as a result of the COVID-19 pandemic.</w:t>
      </w:r>
    </w:p>
    <w:p>
      <w:pPr>
        <w:spacing w:after="0" w:line="188" w:lineRule="exact"/>
        <w:rPr>
          <w:sz w:val="20"/>
          <w:szCs w:val="20"/>
          <w:color w:val="auto"/>
        </w:rPr>
      </w:pPr>
    </w:p>
    <w:p>
      <w:pPr>
        <w:ind w:left="180" w:right="60"/>
        <w:spacing w:after="0" w:line="286" w:lineRule="auto"/>
        <w:rPr>
          <w:sz w:val="20"/>
          <w:szCs w:val="20"/>
          <w:color w:val="auto"/>
        </w:rPr>
      </w:pPr>
      <w:r>
        <w:rPr>
          <w:rFonts w:ascii="Arial" w:cs="Arial" w:eastAsia="Arial" w:hAnsi="Arial"/>
          <w:sz w:val="17"/>
          <w:szCs w:val="17"/>
          <w:b w:val="1"/>
          <w:bCs w:val="1"/>
          <w:i w:val="1"/>
          <w:iCs w:val="1"/>
          <w:color w:val="auto"/>
        </w:rPr>
        <w:t>Our executive officers, directors and certain significant shareholders will continue to own a substantial number of our ordinary shares and, as a result, may be able to exercise control over us, including the outcome of shareholder votes. Certain of our directors and officers hold interests in one of these shareholders and these shareholders may have different interests from us or your interests.</w:t>
      </w:r>
    </w:p>
    <w:p>
      <w:pPr>
        <w:spacing w:after="0" w:line="16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As of December 31, 2021, our officers, directors, 5% holders and their affiliates represented beneficial ownership, in the aggregate, of approximately 74.7% of our total outstanding ordinary shares, including 29% held by Florian Schönharting, the chairman of our board of directors. As a result, these parties may be able to determine all matters requiring shareholder approval. For example, these shareholders may be able to exert control over our business, including significant corporate actions such as mergers, schemes of arrangement, sales of substantially all of our assets, and election, re-election and removal of directors. This may prevent or discourage unsolicited acquisition proposals or offers for our ordinary shares, or other such changes in control, that you may feel are in your best interest. The interests of this group of shareholders may not always coincide with your interests or the interests of other shareholders and they may act in a manner that advances their best interests and not necessarily those who purchase ordinary shares in the future, including seeking a premium value for their ordinary shares, and might affect the prevailing market price for our ordinary shares.</w:t>
      </w:r>
    </w:p>
    <w:p>
      <w:pPr>
        <w:spacing w:after="0" w:line="16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For more information regarding our principal shareholders and their affiliated entities, see “Item 7. Major Shareholders and Related Party Transactions —A. Major Shareholders.”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right="580"/>
        <w:spacing w:after="0" w:line="277" w:lineRule="auto"/>
        <w:rPr>
          <w:sz w:val="20"/>
          <w:szCs w:val="20"/>
          <w:color w:val="auto"/>
        </w:rPr>
      </w:pPr>
      <w:r>
        <w:rPr>
          <w:rFonts w:ascii="Arial" w:cs="Arial" w:eastAsia="Arial" w:hAnsi="Arial"/>
          <w:sz w:val="18"/>
          <w:szCs w:val="18"/>
          <w:b w:val="1"/>
          <w:bCs w:val="1"/>
          <w:i w:val="1"/>
          <w:iCs w:val="1"/>
          <w:color w:val="auto"/>
        </w:rPr>
        <w:t>We have never paid cash dividends, do not anticipate paying any cash dividends and our ability to pay dividends, or repurchase or redeem our ordinary shares, is limited by law.</w:t>
      </w:r>
    </w:p>
    <w:p>
      <w:pPr>
        <w:spacing w:after="0" w:line="170"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We have never declared or paid cash dividends on our ordinary shares and do not anticipate paying any dividends on our ordinary shares in the foreseeable future. Any determination to pay dividends in the future will be at the sole discretion of our board of directors after considering our financial condition, results of operations, capital requirements, contractual restrictions, general business conditions and other factors our board of directors deems relevant, and subject to compliance with applicable laws, including the Irish Companies Act 2014 (as amended), (referred to herein as the Irish Companies Act), which requires Irish companies to have distributable reserves available for distribution equal to or greater than the amount of the proposed dividend. Distributable reserves are the accumulated realized profits of the company that have not previously been utilized in a distribution or capitalization less accumulated realized losses that have not previously been written off in a reduction or reorganization of capital. Unless the company creates sufficient distributable reserves from its business activities, the creation of such distributable reserves would involve a reduction of the company’s share premium account or other undenominated capital account, which would require the approval of (i) 75% of our shareholders present and voting at a shareholder meeting, and (ii) the Irish High Court. In the event that we do not undertake a reduction of capital to create distributable reserves, no distributions by way of dividends, share repurchases or otherwise will be permitted under Irish law until such time as the company has created sufficient distributable reserves from its business activities. The determination as to whether or not the company has sufficient distributable reserves to fund a dividend must be made by reference to “relevant accounts” of the company. The “relevant accounts” are either the last set of unconsolidated annual audited financial statements or unaudited financial statements prepared in accordance with the Irish Companies Act, which give a “true and fair view” of the company’s unconsolidated financial position in accordance with accepted accounting practice in Ireland.</w:t>
      </w:r>
    </w:p>
    <w:p>
      <w:pPr>
        <w:spacing w:after="0" w:line="167"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We intend to retain earnings, if any, for use in our business and do not anticipate paying any cash dividends in the foreseeable future. As a result, capital appreciation, if any, on our ordinary shares will be an investor’s sole source of gains for the foreseeable future. Any recommendation by our board of directors to pay dividends will depend on many factors, including our financial condition (including losses carried forward), results of operations, legal requirements and other factors. We are unlikely to pay dividends or other distributions in the foreseeable future.</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Dividends paid may be subject to Irish dividend withholding tax.</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certain circumstances, as an Irish tax resident company, we will be required to deduct Irish dividend withholding tax (currently at the rate of 25%) from dividends paid to our shareholders. Shareholders that are resident in the United States, EU countries (other than Ireland) or other countries with which Ireland has signed a tax treaty (whether the treaty has been ratified or not) generally should not be subject to Irish dividend withholding tax so long as the shareholder has provided its broker, for onward transmission to our qualifying intermediary or other designated agent (in the case of shares held beneficially), or us or our transfer agent (in the case of shares held directly), with all the necessary documentation by the appropriate due date prior to payment of the dividend.</w:t>
      </w:r>
    </w:p>
    <w:p>
      <w:pPr>
        <w:spacing w:after="0" w:line="192" w:lineRule="exact"/>
        <w:rPr>
          <w:sz w:val="20"/>
          <w:szCs w:val="20"/>
          <w:color w:val="auto"/>
        </w:rPr>
      </w:pPr>
    </w:p>
    <w:p>
      <w:pPr>
        <w:ind w:left="180"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inaccurate or unfavorable research, about our business, the price of our ordinary shares and our trading volume could decline.</w:t>
      </w:r>
    </w:p>
    <w:p>
      <w:pPr>
        <w:spacing w:after="0" w:line="170"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The trading market for our ordinary shares depends, in part, on the research and reports that securities or industry analysts publish about us or our business. If one or more of the analysts who cover us downgrade our ordinary shares or publish inaccurate or unfavorable research about our business, the price of our ordinary shares would likely decline. In addition, if our operating results fail to meet the forecast of analysts, the price of our ordinary shares would likely decline. If one or more of these analysts cease coverage of our company or fail to publish reports on us regularly, demand for our ordinary shares could decrease, which might cause the price of our ordinary shares and trading volume to decline.</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Future sales of our securities by existing shareholders could depress the market price of our ordinary shares.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Future sales of a substantial number of our ordinary shares, or the perception that such sales will occur, could cause a decline in the market price of our ordinary shares. As of December 31, 2021, we had 52,020,849 ordinary shares outstanding.</w:t>
      </w:r>
    </w:p>
    <w:p>
      <w:pPr>
        <w:spacing w:after="0" w:line="170"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color w:val="auto"/>
        </w:rPr>
        <w:t>We intend to file one or more registration statements with the SEC covering ordinary shares available for future issuance under our equity incentive plans. Upon effectiveness of such registration statements, any ordinary shares subsequently issued under such plans will be eligible for sale in the public market, subject to compliance with Rule 144 of the Securities Act of 1933, as amended, or the Securities Act. We entered into a registration rights agreement pursuant to which we granted demand, short form and piggyback registration rights to our existing shareholders. Sales of a large number of the ordinary shares issued under these plans or by existing shareholders pursuant to the registration rights agreement in the public market could have an adverse effect on the market price of our ordinary shares. These sales might also make it more difficult for us to issue or sell equity or equity-related securities in the future at a time and a price that we deem appropriate. If such ordinary shares are sold, or if it is perceived that they will be sold, in the public market, the trading price of our ordinary shares could decline substantially. For more information on our equity incentive plans and registration rights agreement, see “Item 7. Major Shareholders and Related Party Transactions—B. Related Party Transactions—Registration Rights Agreement” and “Item 6. Directors, Senior Management and Employees—B. Compensation—Equity Incentive Plans,” respectively.</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0" w:name="page81"/>
    <w:bookmarkEnd w:id="8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180" w:right="260"/>
        <w:spacing w:after="0" w:line="263" w:lineRule="auto"/>
        <w:rPr>
          <w:sz w:val="20"/>
          <w:szCs w:val="20"/>
          <w:color w:val="auto"/>
        </w:rPr>
      </w:pPr>
      <w:r>
        <w:rPr>
          <w:rFonts w:ascii="Arial" w:cs="Arial" w:eastAsia="Arial" w:hAnsi="Arial"/>
          <w:sz w:val="18"/>
          <w:szCs w:val="18"/>
          <w:b w:val="1"/>
          <w:bCs w:val="1"/>
          <w:i w:val="1"/>
          <w:iCs w:val="1"/>
          <w:color w:val="auto"/>
        </w:rPr>
        <w:t>Shareholders could be diluted in the future if we increase our issued share capital because of the disapplication of statutory preemption rights. In addition, shareholders in certain jurisdictions, including the United States, may not be able to exercise their preemption rights even if those rights have not been disapplied.</w:t>
      </w:r>
    </w:p>
    <w:p>
      <w:pPr>
        <w:spacing w:after="0" w:line="184"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As a matter of Irish law, holders of our ordinary shares will have a preemption right with respect to any issuance of our ordinary shares for cash consideration or the granting of rights to subscribe for our ordinary shares for cash consideration, unless such preemption right is disapplied, in whole or in part, either in our Constitution (a form of which is incorporated by reference as an exhibit to this Annual Report) or by resolution of our shareholders at a general meeting of shareholders or otherwise. However, we have opted out of these preemption rights in the Constitution as permitted under Irish company law (for a period of five years). Thus, our board of directors will be permitted to issue up to all of our authorized but unissued share capital on a non-preemptive basis for cash consideration at any stage during the period of five years after the date of adoption of the Constitution. In addition, even if the disapplication of preemption rights contained in the Constitution expires (and is not renewed by shareholders at a general meeting) or is terminated by our shareholders in a general meeting, due to laws and regulations in certain jurisdictions outside Ireland, shareholders in such jurisdictions may not be able to exercise their preemption rights unless we take action to register or otherwise qualify the rights offering under the laws of that jurisdiction. For example, in the United States, U.S. holders of our ordinary shares may not be able to exercise preemption rights unless a registration statement under the Securities Act is declared effective with respect to our ordinary shares issuable upon exercise of such rights or an exemption from the U.S. registration requirements is available. If shareholders in such jurisdictions are unable to exercise their preemption rights, their ownership interest would be diluted. Any future issuance of shares or debt instruments convertible into shares where preemption rights are not available or are excluded would result in the dilution of existing shareholders and reduce the earnings per share, which could have a material adverse effect on the price of shares.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be at an increased risk of securities class action litigation.</w:t>
      </w:r>
    </w:p>
    <w:p>
      <w:pPr>
        <w:spacing w:after="0" w:line="22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Historically, securities class action litigation has often been brought against a company following a decline in the market price of its securities. This risk is especially relevant for us because pharmaceutical and biopharmaceutical companies have experienced significant share price volatility in recent years. If we were to be sued, it could result in substantial costs and a diversion of management’s attention and resources, which could harm the trading price of our ordinary shares.</w:t>
      </w:r>
    </w:p>
    <w:p>
      <w:pPr>
        <w:spacing w:after="0" w:line="187" w:lineRule="exact"/>
        <w:rPr>
          <w:sz w:val="20"/>
          <w:szCs w:val="20"/>
          <w:color w:val="auto"/>
        </w:rPr>
      </w:pPr>
    </w:p>
    <w:p>
      <w:pPr>
        <w:ind w:left="180" w:right="200"/>
        <w:spacing w:after="0" w:line="277" w:lineRule="auto"/>
        <w:rPr>
          <w:sz w:val="20"/>
          <w:szCs w:val="20"/>
          <w:color w:val="auto"/>
        </w:rPr>
      </w:pPr>
      <w:r>
        <w:rPr>
          <w:rFonts w:ascii="Arial" w:cs="Arial" w:eastAsia="Arial" w:hAnsi="Arial"/>
          <w:sz w:val="18"/>
          <w:szCs w:val="18"/>
          <w:b w:val="1"/>
          <w:bCs w:val="1"/>
          <w:i w:val="1"/>
          <w:iCs w:val="1"/>
          <w:color w:val="auto"/>
        </w:rPr>
        <w:t>A future transfer of ordinary shares, other than one effected by means of the transfer of book entry interests in DTC, may be subject to Irish stamp duty.</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Transfers of ordinary shares effected by means of the transfer of book entry interests in the Depository Trust Company, or DTC, should not be subject to Irish stamp duty where ordinary shares are traded through DTC, either directly or through brokers that hold such shares on behalf of customers through DTC. However, if you hold your ordinary shares as of record rather than beneficially through DTC, any transfer of ordinary shares could be subject to Irish stamp duty (currently at the rate of 1% of the higher of the price paid or the market value of the shares acquired). Payment of Irish stamp duty is generally a legal obligation of the transferee. The potential for stamp duty to arise could adversely affect the price of our ordinary shares. For more information, see “Item 10. Additional Information—E. Taxation—Material Irish Tax Consequences—Stamp Duty.”</w:t>
      </w:r>
    </w:p>
    <w:p>
      <w:pPr>
        <w:spacing w:after="0" w:line="178" w:lineRule="exact"/>
        <w:rPr>
          <w:sz w:val="20"/>
          <w:szCs w:val="20"/>
          <w:color w:val="auto"/>
        </w:rPr>
      </w:pPr>
    </w:p>
    <w:p>
      <w:pPr>
        <w:ind w:left="180" w:right="160"/>
        <w:spacing w:after="0" w:line="340" w:lineRule="auto"/>
        <w:rPr>
          <w:sz w:val="20"/>
          <w:szCs w:val="20"/>
          <w:color w:val="auto"/>
        </w:rPr>
      </w:pPr>
      <w:r>
        <w:rPr>
          <w:rFonts w:ascii="Arial" w:cs="Arial" w:eastAsia="Arial" w:hAnsi="Arial"/>
          <w:sz w:val="15"/>
          <w:szCs w:val="15"/>
          <w:b w:val="1"/>
          <w:bCs w:val="1"/>
          <w:i w:val="1"/>
          <w:iCs w:val="1"/>
          <w:color w:val="auto"/>
        </w:rPr>
        <w:t>Our Constitution provides that the courts of Ireland will be the exclusive forum for the resolution of all shareholder complaints other than complaints asserting a cause of action arising under the Securities Act and the Exchange Act, and that the U.S. federal district courts will be the exclusive forum for the resolution of any shareholder complaint asserting a cause of action arising under the Securities Act and the Exchange Act.</w:t>
      </w:r>
    </w:p>
    <w:p>
      <w:pPr>
        <w:spacing w:after="0" w:line="13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Constitution provides that the courts of Ireland will be the exclusive forum for resolving all shareholder complaints other than shareholder complaints asserting a cause of action arising under the Securities Act and the Securities Exchange Act of 1934, as amended, or the Exchange Act, and that the U.S. federal district courts will be the exclusive forum for resolving any shareholder complaint asserting a cause of action arising under the Securities Act and the Exchange Act. This choice of forum provision may limit a shareholder’s ability to bring a claim in a judicial forum that it finds favorable for disputes with us or our directors, officers or other employees, which may discourage such lawsuits. The enforceability of similar exclusive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our Constitution. Additionally, our shareholders cannot waive compliance with the federal securities laws and the rules and regulations thereunder. If a court were to find either choice of forum provision contained in our Constitution to be inapplicable or unenforceable in an action, we may incur additional costs associated with resolving such action in other jurisdictions, which could adversely affect our results of operations and financial condition.</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225"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We are incorporated and have our registered office in, and are currently existing under the laws of, Ireland. In addition, certain members of our board of directors and senior management are nonresidents of the United States, and all or a substantial portion of our assets and the assets of such persons are located outside the United States. As a result, it may not be possible to serve process on such persons or us in the United States or to enforce judgments obtained in U.S. courts against them or us based on civil liability provisions of the securities laws of the United States. As a result, it may not be possible for investors to effect service of process within the United States upon such persons or to enforce judgments obtained in U.S. courts against them or us, including judgments predicated upon the civil liability provisions of the U.S. federal securities laws.</w:t>
      </w:r>
    </w:p>
    <w:p>
      <w:pPr>
        <w:spacing w:after="0" w:line="178"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United States and Ireland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Ireland. In addition, uncertainty exists as to whether Irish courts would entertain original actions brought in Ireland against us or our directors or senior management predicated upon the securities laws of the United States or any state in the United States. Any final and conclusive monetary judgment for a definite sum obtained against us in U.S. courts would be treated by Irish courts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subject to determination by the court making such decision. If an Irish court gives judgment for the sum payable under a U.S. judgment, the Irish judgment will be enforceable by methods generally available for this purpose. These methods generally permit the Irish court discretion to prescribe the manner of enforcement.</w:t>
      </w:r>
    </w:p>
    <w:p>
      <w:pPr>
        <w:spacing w:after="0" w:line="168"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As a result, U.S. investors may not be able to enforce against us or our senior management, board of directors or certain experts named herein who are residents of Ireland or countries other than the United States any judgments obtained in U.S. courts in civil and commercial matters, including judgments under the U.S. federal securities laws.</w:t>
      </w:r>
    </w:p>
    <w:p>
      <w:pPr>
        <w:spacing w:after="0" w:line="184" w:lineRule="exact"/>
        <w:rPr>
          <w:sz w:val="20"/>
          <w:szCs w:val="20"/>
          <w:color w:val="auto"/>
        </w:rPr>
      </w:pPr>
    </w:p>
    <w:p>
      <w:pPr>
        <w:ind w:left="180" w:right="260"/>
        <w:spacing w:after="0" w:line="381" w:lineRule="auto"/>
        <w:rPr>
          <w:sz w:val="20"/>
          <w:szCs w:val="20"/>
          <w:color w:val="auto"/>
        </w:rPr>
      </w:pPr>
      <w:r>
        <w:rPr>
          <w:rFonts w:ascii="Arial" w:cs="Arial" w:eastAsia="Arial" w:hAnsi="Arial"/>
          <w:sz w:val="15"/>
          <w:szCs w:val="15"/>
          <w:b w:val="1"/>
          <w:bCs w:val="1"/>
          <w:i w:val="1"/>
          <w:iCs w:val="1"/>
          <w:color w:val="auto"/>
        </w:rPr>
        <w:t>There can be no assurance that we were not a passive foreign investment company for 2021, and there is significant risk that we will be a PFIC in 2022 and beyond, which could subject U.S. investors in our ordinary shares to significant adverse U.S. federal income tax consequences.</w:t>
      </w:r>
    </w:p>
    <w:p>
      <w:pPr>
        <w:spacing w:after="0" w:line="10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Under the Internal Revenue Code of 1986, as amended, or the Code, we will be a passive foreign investment company, or PFIC, for any taxable year in which, after the application of certain look-through rules with respect to our subsidiaries, either (1) 75% or more of our gross income consists of “passive income;” or (2) 50% or more of the average quarterly value of our assets consists of assets that produce, or are held for the production of, “passive income.” Passive income generally includes dividends, interest, certain non-active rents and royalties, and capital gains. Based on our current operations, income, assets and certain estimates and projections, including as to the relative values of our assets, including goodwill, which is based on the price of our ordinary shares, we do not believe that we were a PFIC for our 2021 taxable year. However, whether we were a PFIC in 2021, and whether we will be a PFIC in 2022 or any future year, is uncertain because, among other things, (1) we hold a substantial amount of cash, which is generally categorized as a passive asset, (2) our PFIC status for any taxable year will depend on the composition of our income and assets and the value of our assets from time to time (which may be determined, in part, by reference to the market price of our ordinary shares, which could be volatile), (3) the law applicable to determining whether the categorization of our goodwill as active or passive is subject to varying interpretation, and (4) even a small amount of “passive income” earned by us, such as interest on a tax refund or vendor deposit, can cause our “passive income” to be in excess of 75% of our gross income because we do not currently have active income. Accordingly, there can be no assurance that we were not be a PFIC in 2021. Additionally, we expect to generate interest income (which is passive income for purposes of PFIC) in 2022 (and possibly beyond 2022), and therefore, there is a significant risk that we will be a PFIC in 2022 or any subsequent year. Prospective investors should invest in our ordinary shares only if they are willing to bear the U.S. federal income tax consequences associated with an investment in a PFIC.</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If we are a PFIC for any taxable year during which a U.S. investor holds ordinary shares, we generally would continue to be treated as a PFIC with respect to that U.S. investor for all succeeding years during which the U.S. investor holds ordinary shares, even if we ceased to meet the threshold requirements for PFIC status. Such a U.S. investor may be subject to adverse U.S. federal income tax consequences, including (1) the treatment of all or a portion of any gain on disposition as ordinary income; (2) the application of a deferred interest charge on such gain and the receipt of certain dividends; and</w:t>
      </w:r>
    </w:p>
    <w:p>
      <w:pPr>
        <w:spacing w:after="0" w:line="1" w:lineRule="exact"/>
        <w:rPr>
          <w:sz w:val="20"/>
          <w:szCs w:val="20"/>
          <w:color w:val="auto"/>
        </w:rPr>
      </w:pPr>
    </w:p>
    <w:p>
      <w:pPr>
        <w:jc w:val="both"/>
        <w:ind w:right="300" w:firstLine="8"/>
        <w:spacing w:after="0" w:line="255" w:lineRule="auto"/>
        <w:tabs>
          <w:tab w:leader="none" w:pos="2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compliance with certain reporting requirements. A “mark-to-market” election may be available that will alter the consequences of PFIC status if our ordinary shares are regularly traded on a qualified exchange. For further discussion, see “Item 10. Additional Information—E. Taxation—Material U.S. Federal Income Tax Consequences for U.S. Holders.”</w:t>
      </w:r>
    </w:p>
    <w:p>
      <w:pPr>
        <w:spacing w:after="0" w:line="190" w:lineRule="exact"/>
        <w:rPr>
          <w:sz w:val="20"/>
          <w:szCs w:val="20"/>
          <w:color w:val="auto"/>
        </w:rPr>
      </w:pPr>
    </w:p>
    <w:p>
      <w:pPr>
        <w:ind w:left="180" w:right="2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are availing ourselves of reduced disclosure requirements applicable to emerging growth companies, which could make our ordinary shares less attractive to investors.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are an “emerging growth company,” as defined in the JOBS Act, and we intend to continue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and exemptions from the requirements of holding a nonbinding advisory vote on executive compensation and shareholder approval of any golden parachute payments not previously approved. We cannot predict if investors will find our ordinary shares less attractive because we may rely on these exemptions. If some investors find our ordinary shares less attractive as a result, there may be a less active trading market for our ordinary shares and the price of our ordinary shares may be more volatile. We may take advantage of these reporting exemptions until we are no longer an emerging growth company. We will remain an emerging growth company until the earliest of (1) the last day of the fiscal year (i) in which we have total annual gross revenue of $1.07 billion; (ii) the end of the fiscal year following the fifth anniversary of the date of the completion of our initial public offering; or (iii) in which we are deemed to be a “large accelerated filer,” which requires the market value of our ordinary shares that is held by non-affiliates to exceed $700 million as of the prior June 30th, and (2) the date on which we have issued more than $1 billion in nonconvertible debt during the previous three-year period. We cannot predict if investors will find our ordinary shares less attractive because we rely on these exemptions. If some investors find our ordinary shares less attractive as a result, there may be a less active trading market for our ordinary shares and the price of our ordinary shares may be more volatile.</w:t>
      </w:r>
    </w:p>
    <w:p>
      <w:pPr>
        <w:spacing w:after="0" w:line="186" w:lineRule="exact"/>
        <w:rPr>
          <w:sz w:val="20"/>
          <w:szCs w:val="20"/>
          <w:color w:val="auto"/>
        </w:rPr>
      </w:pPr>
    </w:p>
    <w:p>
      <w:pPr>
        <w:ind w:left="180" w:right="120"/>
        <w:spacing w:after="0" w:line="263" w:lineRule="auto"/>
        <w:rPr>
          <w:sz w:val="20"/>
          <w:szCs w:val="20"/>
          <w:color w:val="auto"/>
        </w:rPr>
      </w:pPr>
      <w:r>
        <w:rPr>
          <w:rFonts w:ascii="Arial" w:cs="Arial" w:eastAsia="Arial" w:hAnsi="Arial"/>
          <w:sz w:val="18"/>
          <w:szCs w:val="18"/>
          <w:b w:val="1"/>
          <w:bCs w:val="1"/>
          <w:i w:val="1"/>
          <w:iCs w:val="1"/>
          <w:color w:val="auto"/>
        </w:rPr>
        <w:t>As a foreign private issuer, we are permitted to adopt certain home country requirements in relation to corporate governance matters that differ significantly from Nasdaq corporate governance listing standards. These practices may afford less protection to shareholders than they would enjoy if we complied fully with corporate governance listing standards.</w:t>
      </w:r>
    </w:p>
    <w:p>
      <w:pPr>
        <w:spacing w:after="0" w:line="18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As a foreign private issuer, we are permitted to follow certain home country corporate governance requirements as opposed to those requirements that would otherwise be required by Nasdaq for domestic U.S. issuers. Following our home country governance practices allows us to follow Irish corporate law and the Irish Companies Act with regard to certain corporate governance matters as opposed to the requirements that would otherwise apply to U.S. companies listed on Nasdaq may provide less protection to our shareholders than what is accorded to investors under Nasdaq rules applicable to domestic U.S. issuers.</w:t>
      </w:r>
    </w:p>
    <w:p>
      <w:pPr>
        <w:spacing w:after="0" w:line="18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As a foreign private issuer, we are exempt from the rules and regulations under the Exchange Act related to the furnishing and content of proxy statements. Our officers, directors and principal shareholders are also exempt from the reporting and short-swing profit recovery provisions contained in Section 16 of the Exchange Act. In addition, we are not required under the Exchange Act to file reports and financial statements with the SEC as frequently or as promptly as U.S. domestic companies whose securities are registered under the Exchange Act and we are exempt from filing quarterly reports with the SEC under the Exchange Act. Moreover, we are not required to comply with Regulation FD, which restricts the selective disclosure of material information, although we have voluntarily adopted a corporate disclosure policy substantially similar to Regulation FD. These exemptions and leniencies will reduce the frequency and scope of information and protections to which you may otherwise have been eligible in relation to a U.S. domestic issuer.</w:t>
      </w:r>
    </w:p>
    <w:p>
      <w:pPr>
        <w:spacing w:after="0" w:line="166"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We intend to continue to follow, or may in the future elect to follow, as the case may be, Irish corporate governance requirements in lieu of the corporate governance requirements of Nasdaq in respect of the following:</w:t>
      </w:r>
    </w:p>
    <w:p>
      <w:pPr>
        <w:spacing w:after="0" w:line="170"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majority independent director requirement under Nasdaq listing rules;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requirement under Nasdaq listing rules that a compensation committee composed solely of independent directors governed by a compensation committee charter oversee executive compensation;</w:t>
      </w:r>
    </w:p>
    <w:p>
      <w:pPr>
        <w:spacing w:after="0" w:line="170" w:lineRule="exact"/>
        <w:rPr>
          <w:rFonts w:ascii="Arial" w:cs="Arial" w:eastAsia="Arial" w:hAnsi="Arial"/>
          <w:sz w:val="18"/>
          <w:szCs w:val="18"/>
          <w:color w:val="auto"/>
        </w:rPr>
      </w:pPr>
    </w:p>
    <w:p>
      <w:pPr>
        <w:ind w:left="660" w:right="90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requirement under Nasdaq listing rules that director nominees be selected or recommended for selection by either a majority of the independent directors or a nominations committee composed solely of independent directors;</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requirement under Nasdaq listing rules that a quorum must consist of at least 331⁄3 percent of the outstanding shares of a listed company’s common voting stock; and</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requirement under Nasdaq listing rules that the independent directors have regularly scheduled meetings with only the independent directors present.</w:t>
      </w:r>
    </w:p>
    <w:p>
      <w:pPr>
        <w:spacing w:after="0" w:line="170"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Furthermore, Nasdaq’s corporate governance rules require listed U.S. companies to, among other things, seek shareholder approval for the implementation of certain equity compensation plans and issuances of ordinary shares, which we are not required to follow as a foreign private issuer. Therefore, our shareholders may be afforded less protection than they otherwise would have under corporate governance listing standards applicable to U.S. domestic issuers. For further information, please see “Item 16G—Corporate Governance.”</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22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While we currently qualify as a foreign private issuer, the determination of foreign private issuer status is made annually on the last business day of an issuer’s most recently completed second fiscal quarter and, accordingly, the next determination will be made with respect to us on June 30, 2022.</w:t>
      </w:r>
    </w:p>
    <w:p>
      <w:pPr>
        <w:spacing w:after="0" w:line="12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the future, we would lose our foreign private issuer status if we were to fail to meet the requirements necessary to maintain our foreign private issuer status as of the relevant determination date. For example, if more than 50% of our securities are held by U.S. residents and more than 50% of our executive officers or members of our board of directors are residents or citizens of the United States, we could lose our foreign private issuer status.</w:t>
      </w:r>
    </w:p>
    <w:p>
      <w:pPr>
        <w:spacing w:after="0" w:line="149"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In addition, we may lose our ability to rely upon exemptions from certain corporate governance requirements on U.S. stock exchanges that are available to foreign private issuers such as the ones described above and exemptions from procedural requirements related to the solicitation of proxies.</w:t>
      </w:r>
    </w:p>
    <w:p>
      <w:pPr>
        <w:spacing w:after="0" w:line="161" w:lineRule="exact"/>
        <w:rPr>
          <w:sz w:val="20"/>
          <w:szCs w:val="20"/>
          <w:color w:val="auto"/>
        </w:rPr>
      </w:pPr>
    </w:p>
    <w:p>
      <w:pPr>
        <w:ind w:left="180" w:right="420"/>
        <w:spacing w:after="0" w:line="277" w:lineRule="auto"/>
        <w:rPr>
          <w:sz w:val="20"/>
          <w:szCs w:val="20"/>
          <w:color w:val="auto"/>
        </w:rPr>
      </w:pPr>
      <w:r>
        <w:rPr>
          <w:rFonts w:ascii="Arial" w:cs="Arial" w:eastAsia="Arial" w:hAnsi="Arial"/>
          <w:sz w:val="18"/>
          <w:szCs w:val="18"/>
          <w:b w:val="1"/>
          <w:bCs w:val="1"/>
          <w:i w:val="1"/>
          <w:iCs w:val="1"/>
          <w:color w:val="auto"/>
        </w:rPr>
        <w:t>As a public company, we have incurred, and in the future will incur significant additional costs, and our management will be required to devote substantial time and attention to our public reporting obligations.</w:t>
      </w:r>
    </w:p>
    <w:p>
      <w:pPr>
        <w:spacing w:after="0" w:line="17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As a publicly traded company we have incurred, and in the future will incur significant additional legal, accounting and other expenses compared to levels when we were a private company. In addition, new and changing laws, regulations and standards relating to corporate governance and public disclosure, including the Dodd-Frank Wall Street Reform and Consumer Protection Act and the rules and regulations promulgated and to be promulgated thereunder, as well as under the Sarbanes-Oxley Act, the JOBS Act and the rules and regulations of the SEC and Nasdaq, have created uncertainty for public companies and increased our costs and time that our board of directors and management must devote to complying with these rules and regulations. We have invested, and intend to continue to invest, resources to comply with evolving laws, regulations and standards, and this investment has increased, and may continue to increase, legal and financial compliance costs and has diverted, and may continue to divert, management’s time and attention from revenue-generating activities.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Irish law differs from the laws in effect in the United States and may afford less protection to holders of our securities.</w:t>
      </w:r>
    </w:p>
    <w:p>
      <w:pPr>
        <w:spacing w:after="0" w:line="225"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You may have difficulties enforcing, in actions brought in courts in jurisdictions located outside the United States, judgments obtained in the U.S. courts under the U.S. securities laws. In particular, if you sought to bring proceedings in Ireland based on U.S. securities laws, the Irish court might consider:</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it did not have jurisdiction;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it was not the appropriate forum for such proceedings;</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applying Irish conflict of law rules, U.S. law (including U.S. securities laws) did not apply to the relationship between you and us or our directors and officers;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the U.S. securities laws were of a penal nature and violated Irish public policy and should not be enforced by the Irish court.</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It may not be possible to enforce court judgments obtained in the United States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liabilities provisions of the U.S. federal or state securities laws. We have been advised that the United States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judgment obtained against us will be enforced by the courts of Ireland only if the following general requirements are met:</w:t>
      </w:r>
    </w:p>
    <w:p>
      <w:pPr>
        <w:spacing w:after="0" w:line="225" w:lineRule="exact"/>
        <w:rPr>
          <w:sz w:val="20"/>
          <w:szCs w:val="20"/>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U.S. courts must have had jurisdiction in relation to the particular defendant according to Irish conflict of law rules (the submission to jurisdiction by the defendant would satisfy this rule);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judgment must be final and conclusive and the decree must be final and unalterable in the court which pronounces it.</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 judgment can be final and conclusive even if it is subject to appeal or even if an appeal is pending. But where the effect of lodging an appeal under the applicable law is to stay execution of the judgment, it is possible that in the meantime the judgment may not be actionable in Ireland. It remains to be determined whether final judgment given in default of appearance is final and conclusive. Irish courts may also refuse to enforce a judgment of the U.S. courts which meets the above requirements for one of the following reasons:</w:t>
      </w:r>
    </w:p>
    <w:p>
      <w:pPr>
        <w:spacing w:after="0" w:line="187"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judgment is not for a definite sum of money;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judgment was obtained by fraud;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enforcement of the judgment in Ireland would be contrary to natural or constitutional justice;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judgment is contrary to Irish public policy or involves certain U.S. laws which will not be enforced in Ireland; or</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jurisdiction cannot be obtained by the Irish courts over the judgment debtors in the enforcement proceedings by personal service in Ireland or outside Ireland under Order 11 of the Irish Superior Courts Rules.</w:t>
      </w:r>
    </w:p>
    <w:p>
      <w:pPr>
        <w:spacing w:after="0" w:line="170"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As an Irish company, we are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w:t>
      </w:r>
    </w:p>
    <w:p>
      <w:pPr>
        <w:spacing w:after="0" w:line="178"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You should also be aware that Irish law does not allow for any form of legal proceedings directly equivalent to the class action available in the United States. For further information with respect to your rights as a shareholder, see “Item 10. Additional Information—B. Memorandum and Articles of Association.”</w:t>
      </w: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5" w:name="page86"/>
    <w:bookmarkEnd w:id="8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right="180"/>
        <w:spacing w:after="0" w:line="277" w:lineRule="auto"/>
        <w:rPr>
          <w:sz w:val="20"/>
          <w:szCs w:val="20"/>
          <w:color w:val="auto"/>
        </w:rPr>
      </w:pPr>
      <w:r>
        <w:rPr>
          <w:rFonts w:ascii="Arial" w:cs="Arial" w:eastAsia="Arial" w:hAnsi="Arial"/>
          <w:sz w:val="18"/>
          <w:szCs w:val="18"/>
          <w:b w:val="1"/>
          <w:bCs w:val="1"/>
          <w:i w:val="1"/>
          <w:iCs w:val="1"/>
          <w:color w:val="auto"/>
        </w:rPr>
        <w:t>As an Irish public limited company, certain capital structure decisions require shareholder approval, which may limit our flexibility to manage our capital structure.</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Under Irish law, our authorized share capital can be increased by an ordinary resolution of our shareholders and the directors may issue new ordinary shares up to a maximum amount equal to the authorized but unissued share capital, without shareholder approval, once authorized to do so by our Constitution or by an ordinary resolution of our shareholders. Additionally, subject to specified exceptions, Irish law grants statutory preemption rights to existing shareholders where shares are being issued for cash consideration but allows shareholders to disapply such statutory preemption rights either in our Constitution or by way of special resolution. Such disapplication can either be generally applicable or be in respect of a particular allotment of shares. Accordingly, our Constitution contains, as permitted by Irish company law, provisions authorizing the board to issue new shares, and to disapply statutory preemption rights. The authorization of the directors to issue shares and the disapplication of statutory preemption rights must both be renewed by the shareholders at least every five years, and we cannot provide any assurance that these authorizations will always be approved, which could limit our ability to issue equity and thereby adversely affect the holders of our securities.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Provisions of our Constitution could delay or prevent a third party’s effort to acquire us.</w:t>
      </w:r>
    </w:p>
    <w:p>
      <w:pPr>
        <w:spacing w:after="0" w:line="225"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Our Constitution could delay, defer or prevent a third party from acquiring us, even where such a transaction would be beneficial to the holders of ordinary shares, or could otherwise adversely affect the price of ordinary shares. For example, certain provisions of our Constitution:</w:t>
      </w:r>
    </w:p>
    <w:p>
      <w:pPr>
        <w:spacing w:after="0" w:line="146"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impose advance notice requirements for shareholder proposals and director nominations to be considered at annual shareholder meetings; and</w:t>
      </w:r>
    </w:p>
    <w:p>
      <w:pPr>
        <w:spacing w:after="0" w:line="248" w:lineRule="exact"/>
        <w:rPr>
          <w:rFonts w:ascii="Arial" w:cs="Arial" w:eastAsia="Arial" w:hAnsi="Arial"/>
          <w:sz w:val="16"/>
          <w:szCs w:val="16"/>
          <w:color w:val="auto"/>
        </w:rPr>
      </w:pPr>
    </w:p>
    <w:p>
      <w:pPr>
        <w:ind w:left="660" w:right="64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require the approval of 75% of the voting power of our shares entitled to vote at a general meeting of shareholders to amend or repeal any provisions of our Constitution.</w:t>
      </w:r>
    </w:p>
    <w:p>
      <w:pPr>
        <w:spacing w:after="0" w:line="17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believe these provisions, if implemented in compliance with applicable law, may provide some protection to holders of ordinary shares from coercive or otherwise unfair takeover tactics. These provisions are not intended to make us immune from takeovers. They will, however, apply even if some holders of ordinary shares consider an offer to be beneficial and could delay or prevent an acquisition that our board of directors determines is in the best interest of the holders of ordinary shares. Certain of these provisions may also prevent or discourage attempts to remove and replace incumbent directors.</w:t>
      </w:r>
    </w:p>
    <w:p>
      <w:pPr>
        <w:spacing w:after="0" w:line="188"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In addition, mandatory provisions of Irish law could prevent or delay an acquisition of the Company by a third party. For example, Irish law does not permit shareholders of an Irish public limited company to take action by written consent with less than unanimous consent. In addition, an effort to acquire us may be subject to various provisions of Irish law relating to mandatory bids, voluntary bids, requirements to make a cash offer and minimum price requirements, as well as substantial acquisition rules and rules requiring the disclosure of interests in ordinary shares in certain circumstances.</w:t>
      </w:r>
    </w:p>
    <w:p>
      <w:pPr>
        <w:spacing w:after="0" w:line="157" w:lineRule="exact"/>
        <w:rPr>
          <w:sz w:val="20"/>
          <w:szCs w:val="20"/>
          <w:color w:val="auto"/>
        </w:rPr>
      </w:pPr>
    </w:p>
    <w:p>
      <w:pPr>
        <w:ind w:left="180" w:right="560"/>
        <w:spacing w:after="0" w:line="277" w:lineRule="auto"/>
        <w:rPr>
          <w:sz w:val="20"/>
          <w:szCs w:val="20"/>
          <w:color w:val="auto"/>
        </w:rPr>
      </w:pPr>
      <w:r>
        <w:rPr>
          <w:rFonts w:ascii="Arial" w:cs="Arial" w:eastAsia="Arial" w:hAnsi="Arial"/>
          <w:sz w:val="18"/>
          <w:szCs w:val="18"/>
          <w:b w:val="1"/>
          <w:bCs w:val="1"/>
          <w:i w:val="1"/>
          <w:iCs w:val="1"/>
          <w:color w:val="auto"/>
        </w:rPr>
        <w:t>Irish law differs from the laws in effect in the United States with respect to defending unwanted takeover proposals and may give our board of directors less ability to control negotiations with hostile offerors.</w:t>
      </w:r>
    </w:p>
    <w:p>
      <w:pPr>
        <w:spacing w:after="0" w:line="17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Following the authorization for trading of our ordinary shares on Nasdaq, we became subject to the Irish Takeover Panel Act, 1997, Irish Takeover Rules 2013, or the Irish Takeover Rules. Under the Irish Takeover Rules, our board of directors is not permitted to take any action that might frustrate an offer for our ordinary shares once our board of directors has received an approach that may lead to an offer or has reason to believe that such an offer is or may be imminent, subject to certain exceptions. Potentially frustrating actions such as (i) the issue of shares, options, restricted share units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earlier time during which our board of directors has reason to believe an offer is or may be imminent. These provisions may give our board of directors less ability to control negotiations with hostile offerors than would be the case for a corporation incorporated in a jurisdiction of the United States.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operation of the Irish Takeover Rules may affect the ability of certain parties to acquire our ordinary shares.</w:t>
      </w:r>
    </w:p>
    <w:p>
      <w:pPr>
        <w:spacing w:after="0" w:line="225"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Under the Irish Takeover Rules, if an acquisition of ordinary shares were to increase the aggregate holding of the acquirer and its concert parties to ordinary shares that represent 30% or more of the voting rights of the company, the acquirer and, in certain circumstances, its concert parties would be required (except with the consent of the Irish Takeover Panel) to make an offer for the outstanding ordinary shares at a price not less than the highest price paid for the ordinary shares by the acquirer or its concert parties during the previous 12 months. This requirement would also be triggered by an acquisition of ordinary shares by a person holding (together with its concert parties) ordinary shares that represent between 30% and 50% of the voting rights in the company if the effect of such acquisition were to increase that person’s percentage of the voting rights by 0.05% within a 12-month period. Following the authorization for trading of our ordinary shares on Nasdaq, under the Irish Takeover Rules, certain separate concert parties are presumed to be acting in concert. Our board of directors and their relevant family members, related trusts and “controlled companies” are presumed to be acting in concert with any corporate shareholder who holds 20% or more of our shares. The application of this presumption may result in restrictions upon the ability of any of the concert parties and/or members of our board of directors to acquire more of our securities, including under the terms of any executive incentive arrangements. We may consult with the Irish Takeover Panel with respect to the applicability of this presumption and the restrictions on the ability to acquire further securities without the requirement to make a mandatory offer to acquire all of our shares, although we are unable to provide any assurance as to whether the Irish Takeover Panel will overrule this presumption. For a description of certain takeover provisions applicable to us, see “Item 10. Additional Information—B. Memorandum and Articles of Association—Anti-Takeover Provisions of Irish Law—Irish Takeover Rules and Substantial Acquisition Rules.” Accordingly, the application of the Irish Takeover Rules may restrict the ability of certain of our shareholders and directors to acquire our ordinary shares.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Controls Over Financial Reporting</w:t>
      </w:r>
    </w:p>
    <w:p>
      <w:pPr>
        <w:spacing w:after="0" w:line="229" w:lineRule="exact"/>
        <w:rPr>
          <w:sz w:val="20"/>
          <w:szCs w:val="20"/>
          <w:color w:val="auto"/>
        </w:rPr>
      </w:pPr>
    </w:p>
    <w:p>
      <w:pPr>
        <w:ind w:left="180" w:right="40"/>
        <w:spacing w:after="0" w:line="263" w:lineRule="auto"/>
        <w:rPr>
          <w:sz w:val="20"/>
          <w:szCs w:val="20"/>
          <w:color w:val="auto"/>
        </w:rPr>
      </w:pPr>
      <w:r>
        <w:rPr>
          <w:rFonts w:ascii="Arial" w:cs="Arial" w:eastAsia="Arial" w:hAnsi="Arial"/>
          <w:sz w:val="18"/>
          <w:szCs w:val="18"/>
          <w:b w:val="1"/>
          <w:bCs w:val="1"/>
          <w:i w:val="1"/>
          <w:iCs w:val="1"/>
          <w:color w:val="auto"/>
        </w:rPr>
        <w:t>If we fail to establish and maintain proper and effective internal control over financial reporting, we may not be able to accurately report our financial results or prevent fraud. As a result, shareholders could lose confidence in our financial and other public reporting, which would harm our business and the trading price of our ordinary shares.</w:t>
      </w:r>
    </w:p>
    <w:p>
      <w:pPr>
        <w:spacing w:after="0" w:line="18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We have begun the process of documenting, reviewing, and improving our internal controls and procedures for compliance with Section 404 of the Sarbanes-Oxley Act, which will require annual management assessment of the effectiveness of our internal control over financial reporting. We have begun recruiting additional finance and accounting personnel with certain skill sets to assist us as an Irish public company listed in the United States.</w:t>
      </w:r>
    </w:p>
    <w:p>
      <w:pPr>
        <w:spacing w:after="0" w:line="195"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Implementing any appropriate changes to our internal controls may distract our officers and employees from day-to-day business operations,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the price of our ordinary shares.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spacing w:after="0" w:line="301"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in connection with the audit of our financial statements for the years ended December 31, 2019, 2020 and 2021, and we may identify additional material weaknesses. If our remediation of these material weaknesses is not effective, or if we experience additional material weaknesses or otherwise fail to maintain an effective system of internal controls in the future, our ability to accurately or timely report our financial condition or results of operations may be adversely affected.</w:t>
      </w:r>
    </w:p>
    <w:p>
      <w:pPr>
        <w:spacing w:after="0" w:line="15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generally accepted accounting principles, or GAAP. We are required, pursuant to Section 404 of the Sarbanes-Oxley Act, to furnish a report by our management on, among other things, the effectiveness of our internal control over financial reporting for the first fiscal year beginning after the effective date of the registration statement from our initial public offering. This assessment will need to include disclosures of any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are in the very early stages of the costly and challenging process of planning the activities necessary to perform the evaluation needed to comply with Section 404 of the Sarbanes-Oxley Act.</w:t>
      </w:r>
    </w:p>
    <w:p>
      <w:pPr>
        <w:spacing w:after="0" w:line="18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 connection with the preparation of our financial statements for the years ended December 31, 2019 and 2020, we identified material weaknesses in our internal control over financial reporting. Specifically, we determined that we lack a sufficient number of trained professionals with an appropriate level of accounting knowledge, training and experience to: (a) design and maintain formal accounting policies, procedures and controls over the fair presentation of our financial statements; and (b) design and maintain controls over the preparation and review of account reconciliations, journal entries and financial statements, including maintaining appropriate segregation of duties.</w:t>
      </w:r>
    </w:p>
    <w:p>
      <w:pPr>
        <w:spacing w:after="0" w:line="176"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 connection with the preparation of our financial statements for the year ended December 31, 2021, we identified material weaknesses in our internal control over financial reporting. Specifically, we determined that we lack a sufficient number of trained professionals with an appropriate level of accounting knowledge, training and experience to: (a) design and maintain formal accounting policies, procedures and controls over the fair presentation of our financial statements; and (b) design and maintain controls over the preparation and review of account reconciliations, journal entries and financial statements, including maintaining appropriate segregation of duties and controls over information technology systems.</w:t>
      </w:r>
    </w:p>
    <w:p>
      <w:pPr>
        <w:spacing w:after="0" w:line="176"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These control deficiencies did not result in a material misstatement to the financial statements. However, each of these control deficiencies could result in a misstatement of our accounts or disclosures that would result in a material misstatement of our annual or interim financial statements that would not be prevented or detected, and accordingly, we determined that these control deficiencies constitute material weaknesses.</w:t>
      </w:r>
    </w:p>
    <w:p>
      <w:pPr>
        <w:spacing w:after="0" w:line="16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Prior to our initial public offering in 2021, we were a private company with limited accounting personnel to adequately execute our accounting processes and other supervisory resources with which to address our internal control over financial reporting. We are progressing with the activities necessary to implement the appropriate accounting policies, processes and controls required to comply with Section 404 of the Sarbanes-Oxley Act and are in the process of recruiting an experienced finance team, which is further supported by appropriately qualified external advisers, formalizing information technology systems, implementing financial systems and implementing improved processes and internal controls, including ongoing senior management review and audit committee oversight. We expect to incur additional costs to remediate these weaknesses, primarily personnel costs and external consulting fees. We cannot assure you that the measures we have taken to date, and actions we may take in the future, will be sufficient to remediate the control deficiencies that led to these material weaknesses in our internal control over financial reporting nor that they will prevent or avoid potential future material weaknesses. We cannot assure you that all of our existing material weaknesses have been identified, or that we will not in the future identify additional material weaknesses.</w:t>
      </w:r>
    </w:p>
    <w:p>
      <w:pPr>
        <w:spacing w:after="0" w:line="18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If we are unsuccessful in building an appropriate accounting infrastructure, we may not be able to prepare and disclose, in a timely manner, our financial statements and other required disclosures, or comply with existing or new reporting requirements. Any failure to report our financial results on an accurate and timely basis could result in sanctions, lawsuits, delisting of our shares from Nasdaq or other adverse consequences that could materially harm our business. If we cannot provide reliable financial reports or prevent fraud, our business and results of operations could be harmed and investors could lose confidence in our reported financial information. Any of the foregoing occurrences, should they come to pass, could negatively impact the public perception of our company, which could have a negative impact on our share price. In addition, we may be required to incur additional costs in improving our internal control system and the hiring of additional personnel.</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History and Development of the Company</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GH Research PLC was incorporated as a public limited company under the laws of Ireland on March 29, 2021 to become a holding company for GH Research Ireland Limited. GH Research Ireland Limited was originally incorporated under the laws of Ireland on October 16, 2018 as GH Research Limited. GH Research Limited was re-registered as GH Research Ireland Limited on March 29, 2021. Our registered office is located at 28 Baggot Street Lower, Dublin 2, D02 NX43, Ireland, and our telephone number is + 353 1 437 8443. Our website address is www.ghres.com. We do not incorporate the information on or accessible through our website into this Annual Report, and you should not consider any information on, or that can be accessed through, our website as part of this Annual Report.</w:t>
      </w:r>
    </w:p>
    <w:p>
      <w:pPr>
        <w:spacing w:after="0" w:line="19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principal expenditures since January 1, 2019 have been our research and development expenses, as more fully described elsewhere in this Annual Report.</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Pursuant to the terms of a share for share exchange agreement dated May 27, 2021, all shareholders of GH Research Ireland Limited exchanged each of the shares held by them for ordinary shares of GH Research PLC of the same share classes with the same shareholder rights as the shares held by them in GH Research Ireland Limited and, as a result, GH Research Ireland Limited became a wholly owned subsidiary of GH Research PLC (referred to herein as the Corporate Reorganization).</w:t>
      </w:r>
    </w:p>
    <w:p>
      <w:pPr>
        <w:spacing w:after="0" w:line="187"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Pursuant to a shareholder resolution of GH Research PLC dated June 24, 2021, we effected (a) the conversion of (i) 5,923,079 Series A preferred shares of nominal value $0.01 each into 5,923,079 ordinary shares of nominal value $0.01 each and (ii) 25,379,047 Series B preferred shares of nominal value $0.01 each into 25,379,047 ordinary shares of nominal value $0.01 each and (b) the 2.50-for-one share consolidation of the existing ordinary shares into ordinary shares of nominal value $0.025 each, such that the authorized share capital of the Company was thereafter $1,000,000,000 divided into 40,000,000,000 ordinary shares of nominal value $0.025 (collectively referred to herein as the Share Consolidation), immediately after the SEC declared the registration statement for our initial public offering effective.</w:t>
      </w:r>
    </w:p>
    <w:p>
      <w:pPr>
        <w:spacing w:after="0" w:line="18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Business Overview</w:t>
      </w:r>
    </w:p>
    <w:p>
      <w:pPr>
        <w:spacing w:after="0" w:line="229"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We are a clinical-stage biopharmaceutical company dedicated to transforming the treatment of psychiatric and neurological disorders. Our initial focus is on developing our novel and proprietary 5-Methoxy-N,N-Dimethyltryptamine, or 5-MeO-DMT, therapies for the treatment of patients with Treatment-Resistant Depression, or TRD. Our portfolio currently includes GH001, our proprietary inhalable 5-MeO-DMT product candidate which is delivered via a vaporization device produced by a third party, and GH002, our proprietary injectable 5-MeO-DMT product candidate, and GH003, our proprietary intranasal 5-MeO-DMT product candidate. With GH001, we have completed two Phase 1 healthy volunteer clinical trials (GH001-HV-101 and GH001-HV-103), in which administration of GH001 via inhalation was observed to be well tolerated at the investigated single dose levels and in an individualized dosing regimen with intra-subject dose escalation within a single day. We have also completed a Phase 1/2 clinical trial in patients with TRD (GH001-TRD-102). Based on observed clinical activity in the Phase 1 part of the clinical trial, we believe that administration of a single dose of GH001 has the potential to induce ultra-rapid remissions as measured by the Montgomery–Åsberg Depression Rating Scale, or MADRS, in certain patients. Based on observed clinical activity in the Phase 2 part of the trial, we believe that administration of GH001 in an individualized dosing regimen with intra-subject dose escalation within a single day can further increase the MADRS remission rate as compared to a single dose of GH001.</w:t>
      </w:r>
    </w:p>
    <w:p>
      <w:pPr>
        <w:spacing w:after="0" w:line="17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Patients with MDD who have not adequately responded to therapy clearly have harder-to-treat depression, generally referred to as TRD. There is no consensus definition for TRD, but in the context of clinical trials, failure of at least one pharmacotherapy, one pharmacotherapy and one psychotherapy, or two pharmacotherapies has been used, the latter group having been referred to by regulatory authorities as patients with TRD. The Sequenced Treatment Alternatives to Relieve Depression, or STAR*D study, a collaborative study funded by the U.S. National Institute of Mental Health, demonstrated that approximately 37% of patients with MDD did not achieve a response despite two treatment steps. Based on this result we estimate that there are approximately nine million TRD patients in the United States and Europe who would be candidates for treatment. TRD has a greater economic and societal cost than non-TRD MDD. For instance, direct medical costs are approximately two- to threefold higher for TRD patients compared to non-TRD MDD patients.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Despite the significant unmet medical need in TRD and the substantial patient population, there are only two pharmacotherapies specifically approved for TRD in the United States: esketamine, as well as a combination of olanzapine and fluoxetine, an antipsychotic and antidepressant, respectively, both of which have shown mixed efficacy in clinical trials and are associated with potential side effects. Outside of pharmacotherapies, psychotherapies are also employed in the treatment of TRD, but involve a lengthy time commitment and are subject to large variability in availability, administration and effectiveness. Multiple forms of somatic intervention, such as rTMS, ECT, VNS and DBS, are another common treatment approach for TRD, although these treatments are often deemed invasive and/or onerous, and there are limited data supporting long-term therapeutic benefit. Despite the range of treatments available for TRD, there is a large unmet medical need for new therapies to bring more patients into rapid and durable remissions and to reduce social and economic burden.</w:t>
      </w:r>
    </w:p>
    <w:p>
      <w:pPr>
        <w:spacing w:after="0" w:line="19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5-MeO-DMT is a serotonergic psychedelic, a class of psychoactive drugs that act primarily through an agonist action on serotonin, or 5-HT, receptors and cause an altered state of consciousness. In vivo and in vitro research from academic studies suggest that 5-MeO-DMT is active at both the 5-HT1A and 5-HT2A receptors, which are expressed in neurons in different areas of the central nervous system. 5-MeO-DMT appears to have a higher affinity for the 5-HT1A receptor subtype and a more selective pattern of distribution across various neurotransmitter receptor types compared to other tryptamines, such as psilocin and N,N-Dimethyltryptamine, or DMT, both of which have stronger affinity for the 5-HT2A receptor subtype and a less selective receptor binding profile.</w:t>
      </w:r>
    </w:p>
    <w:p>
      <w:pPr>
        <w:spacing w:after="0" w:line="192"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Our goal is to develop novel and proprietary 5-MeO-DMT therapies for patients with TRD that are highly effective, rapidly acting, well tolerated and conveniently administered. We believe that various distinguishing features of our 5-MeO-DMT product candidates, including our lead product candidate GH001, will allow us to achieve those goals.</w:t>
      </w:r>
    </w:p>
    <w:p>
      <w:pPr>
        <w:spacing w:after="0" w:line="184"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First, we believe that GH001 has a high propensity to induce intense psychoactive effects, or Peak Experiences, or PEs, which we believe may be correlated with ultra-rapid induction of durable remissions in patients with TRD. Second, we believe that there is no clinically relevant tolerance development to 5-MeO-DMT when the drug is re-administered within hours and, therefore, no diminished psychoactive effects. Together with the ultra-rapid onset and short duration of psychoactive effects, this aspect allows re-administration of GH001 in an individualized dosing regimen where GH001 can be administered several times within one day. In the completed Phase 2 part of our Phase 1/2 trial in patients with TRD (GH001-TRD-102), we investigated whether this individualized dosing regimen has the ability to increase the rate of occurrence of PEs in patients with TRD compared to administration of a single dose and whether this results in an increased rate of ultra-rapid remissions, while at the same time avoiding unnecessarily high doses. Third, we believe that the ultra-rapid onset and short duration of the psychoactive effects may confer a significant convenience and feasibility advantage compared to other serotonergic psychoactive agents studied for the treatment of mental disorders, in which the initial psychoactive effects have a slower onset and can last for several hours. We further believe that those features and the type of psychoactive effects induced by GH001 allow for GH001 dosing without the need for lengthy and complex patient preparation prior to the treatment, with only limited required support from a healthcare provider during the experience and without the need for frequent psychological integration work after the experience. GH002, GH003 and potential additional product candidates are expected to follow a similar treatment paradigm.</w:t>
      </w:r>
    </w:p>
    <w:p>
      <w:pPr>
        <w:spacing w:after="0" w:line="18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have completed a Phase 1 clinical trial with seven days of follow-up of GH001, our inhalable 5-MeO-DMT product candidate, in 22 healthy volunteers (GH001-HV-101). Administration via inhalation was observed to be well tolerated at the investigated single dose levels and in the individualized dosing regimen.</w:t>
      </w:r>
    </w:p>
    <w:p>
      <w:pPr>
        <w:spacing w:after="0" w:line="184"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We have completed a Phase 1/2 clinical trial with seven days of follow-up of GH001 in 16 patients with TRD (GH001-TRD-102). In the single-dose Phase 1 part of this trial with two dose levels (12 mg, 18 mg), administration of single doses of GH001 via inhalation was again observed to be well tolerated. We also evaluated clinical activity, as characterized by MADRS remission and MADRS clinical response. Two of four patients (50%) in the 12 mg group and one of four patients (25%) in the 18 mg group of Part A achieved a MADRS remission on day seven after dosing, as well as a MADRS clinical response, and one further patient (25%) in the 18 mg group achieved a MADRS clinical response on day seven after dosing.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open-label, single-arm Phase 2 part of this trial aimed to assess whether applying our individualized dosing regimen with intra-patient dose escalation of GH001 with up to three increasing doses of GH001 in a single day (6 mg as the first dose, 12 mg as the second dose and 18 mg as the third dose, where the second and third doses were only administered in the event that the subject did not achieve a PE at the lower dose, as assessed by our proprietary PE scale) can further increase the MADRS remission rate compared to a single dose of GH001 in patients with TRD. In this part of the trial, we observed that seven of eight patients (87.5%) achieved a MADRS remission on day seven after dosing, as well as a MADRS clinical response.</w:t>
      </w:r>
    </w:p>
    <w:p>
      <w:pPr>
        <w:spacing w:after="0" w:line="16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We have also recently completed a Phase 1 clinical pharmacology trial in 46 healthy volunteers (GH001-HV-103) and the data continue to support the safety profile of GH001 single doses and the proprietary GH001 individualized dosing regimen. The full results of the trial support that an interval down to one hour between individual doses of the IDR is feasible for use in future clinical trials.</w:t>
      </w:r>
    </w:p>
    <w:p>
      <w:pPr>
        <w:spacing w:after="0" w:line="184"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As a next trial of GH001 in TRD, we plan to submit clinical trial applications in several European countries for a multi-center, randomized, controlled Phase 2b trial (GH001-TRD-201) in the third quarter of 2022. Subject to completing clinical development, we plan to seek regulatory approval of GH001 in both the United States and Europe.</w:t>
      </w:r>
    </w:p>
    <w:p>
      <w:pPr>
        <w:spacing w:after="0" w:line="18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GH002 is our second 5-MeO-DMT product candidate, formulated for administration via a proprietary injectable approach. We believe GH002 has the potential to be an attractive therapeutic option, e.g., in patients with underlying airway or pulmonary disease or in situations where it is difficult to assure that the GH001 inhalation is performed adequately, such as in acute psychiatric emergency care situations where a patient may be unable to properly use an inhalation device. GH003 is our third 5-MeO-DMT product candidate, formulated for administration via a proprietary intranasal administration approach. GH002 and GH003 are currently in preclinical development and we anticipate developing them in subpopulations and confined use scenarios within our focus area of psychiatric and neurological disorders.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developing our 5-MeO-DMT product candidates, GH001, GH002 and GH003, in our focus area of psychiatric and neurological disorders. With our lead product candidate GH001, we have completed two Phase 1 clinical trials in healthy volunteers (GH001-HV-101 and GH001-HV-103) and a Phase 1/2 trial in TRD (GH001-TRD-102). As a next trial of GH001 in TRD, we plan to submit clinical trial applications in several European countries for a multi-center, randomized, controlled Phase 2b trial (GH001-TRD-201) in the third quarter of 2022. We also plan to initiate a Phase 1 imaging study in patients with TRD designed to further elucidate the mechanism of action of GH001 (GH001-TRD-104). We have further recently submitted clinical trial applications in a European country for a Phase 2a proof-of-concept clinical trial of GH001 for the treatment of patients with bipolar II disorder and a current depressive episode (GH001-BD-202) and for a Phase 2a proof-of-concept clinical trial of GH001 for the treatment of patients with postpartum depression (GH001-PPD-203). We expect to submit further clinical trial applications for these trials in additional European countries. Pending regulatory clearance, we expect to initiate these trials in the third quarter of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Our mission is to develop novel proprietary 5-MeO-DMT therapies to induce ultra-rapid and durable remissions in patients with psychiatric and neurological disorders. In order to achieve this mission, key elements of our strategy include:</w:t>
      </w:r>
    </w:p>
    <w:p>
      <w:pPr>
        <w:spacing w:after="0" w:line="170" w:lineRule="exact"/>
        <w:rPr>
          <w:sz w:val="20"/>
          <w:szCs w:val="20"/>
          <w:color w:val="auto"/>
        </w:rPr>
      </w:pPr>
    </w:p>
    <w:p>
      <w:pPr>
        <w:ind w:left="660" w:right="26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Advancing GH001, our inhalable 5-MeO-DMT product candidate, for the treatment of TRD through clinical development, regulatory approval and commercialization, if approved</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In TRD, there is a large unmet need for new therapies to bring more patients into rapid and durable remissions. We estimate that approximately nine million people in the United States and Europe have TRD. We have completed two Phase 1 healthy volunteer clinical trials (GH001-HV-101 and GH001-HV-103), in which administration of GH001 via inhalation was observed to be well tolerated at the investigated single dose levels and in the individualized dosing regimen with intra-subject dose escalation within a single day. We have also completed an open-label, single-arm Phase 1/2 clinical trial in patients with TRD (GH001-TRD-102). In the completed Phase 1 part, no serious adverse events, or SAEs, were observed and all adverse drug reactions, or ADRs, were mild and resolved spontaneously. Based on observed clinical activity in this part of the trial, we also believe that administration of a single dose of GH001 has the potential to induce ultra-rapid MADRS remissions in certain patients. Based on observed clinical activity in the Phase 2 part of the trial, we believe that administration of an individualized dosing regimen with intra-subject dose escalation within a single day can further increase the MADRS remission rate as compared to a single dose of GH001. As a next trial of GH001 in TRD, we plan to submit clinical trial applications in several European countries for a multi-center, randomized, controlled Phase 2b trial (GH001-TRD-201) in the third quarter of 2022. We have recently submitted a request for a pre-IND meeting with the FDA to discuss our planned filing of a U.S. IND for GH001 in TRD. The meeting has been granted by the FDA for the second quarter of 2022. The proposed IND-opening study is a Phase 1 imaging study in patients with TRD designed to further elucidate the mechanism of action of GH001 (GH001-TRD-104).</w:t>
      </w:r>
    </w:p>
    <w:p>
      <w:pPr>
        <w:spacing w:after="0" w:line="174"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Advancing GH001, into clinical development in additional psychiatric and neurological disorders beyond TRD</w:t>
      </w:r>
    </w:p>
    <w:p>
      <w:pPr>
        <w:spacing w:after="0" w:line="225" w:lineRule="exact"/>
        <w:rPr>
          <w:rFonts w:ascii="Arial" w:cs="Arial" w:eastAsia="Arial" w:hAnsi="Arial"/>
          <w:sz w:val="18"/>
          <w:szCs w:val="18"/>
          <w:color w:val="auto"/>
        </w:rPr>
      </w:pPr>
    </w:p>
    <w:p>
      <w:pPr>
        <w:ind w:left="660" w:right="180"/>
        <w:spacing w:after="0" w:line="257" w:lineRule="auto"/>
        <w:rPr>
          <w:rFonts w:ascii="Arial" w:cs="Arial" w:eastAsia="Arial" w:hAnsi="Arial"/>
          <w:sz w:val="18"/>
          <w:szCs w:val="18"/>
          <w:color w:val="auto"/>
        </w:rPr>
      </w:pPr>
      <w:r>
        <w:rPr>
          <w:rFonts w:ascii="Arial" w:cs="Arial" w:eastAsia="Arial" w:hAnsi="Arial"/>
          <w:sz w:val="18"/>
          <w:szCs w:val="18"/>
          <w:color w:val="auto"/>
        </w:rPr>
        <w:t>Given GH001’s mechanism of action, we believe that GH001 may confer beneficial effects as an earlier line of treatment in MDD, including the potential to serve as a front-line treatment, as well as in other psychiatric and neurological disorders with unmet medical need. We recently submitted clinical trial applications for a proof-of-concept Phase 2a clinical trial of GH001 for the treatment of patients with bipolar II disorder and a current depressive episode (GH001-BD-202) and for a proof-of-concept Phase 2a clinical trial of GH001 for the treatment of patients with postpartum depression (GH001-PPD-203).</w:t>
      </w:r>
    </w:p>
    <w:p>
      <w:pPr>
        <w:spacing w:after="0" w:line="187"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Advancing GH002, our injectable 5-MeO-DMT product candidate, and GH003, our intranasal 5-MeO-DMT product candidate into clinical development</w:t>
      </w:r>
    </w:p>
    <w:p>
      <w:pPr>
        <w:spacing w:after="0" w:line="170" w:lineRule="exact"/>
        <w:rPr>
          <w:rFonts w:ascii="Arial" w:cs="Arial" w:eastAsia="Arial" w:hAnsi="Arial"/>
          <w:sz w:val="18"/>
          <w:szCs w:val="18"/>
          <w:color w:val="auto"/>
        </w:rPr>
      </w:pPr>
    </w:p>
    <w:p>
      <w:pPr>
        <w:ind w:left="660" w:right="140"/>
        <w:spacing w:after="0" w:line="273" w:lineRule="auto"/>
        <w:rPr>
          <w:rFonts w:ascii="Arial" w:cs="Arial" w:eastAsia="Arial" w:hAnsi="Arial"/>
          <w:sz w:val="18"/>
          <w:szCs w:val="18"/>
          <w:color w:val="auto"/>
        </w:rPr>
      </w:pPr>
      <w:r>
        <w:rPr>
          <w:rFonts w:ascii="Arial" w:cs="Arial" w:eastAsia="Arial" w:hAnsi="Arial"/>
          <w:sz w:val="17"/>
          <w:szCs w:val="17"/>
          <w:color w:val="auto"/>
        </w:rPr>
        <w:t>We believe our injectable 5-MeO-DMT product candidate, GH002, has the potential to be an attractive therapeutic option, e.g., in patients with underlying airway or pulmonary disease or in situations where it is difficult to assure that the GH001 inhalation is performed adequately, such as in acute psychiatric emergency care situations where a patient may be unable to properly use an inhalation device. GH003 is our 5-MeO-DMT product candidate formulated for administration via a proprietary intranasal administration approach. GH002 and GH003 are currently in preclinical development and we anticipate advancing GH002 and GH003 into clinical development in subpopulations and confined use scenarios within our focus area of psychiatric and neurological disorders.</w:t>
      </w:r>
    </w:p>
    <w:p>
      <w:pPr>
        <w:spacing w:after="0" w:line="17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Investigating additional delivery systems and additional routes of administration for 5-MeO-DMT</w:t>
      </w:r>
    </w:p>
    <w:p>
      <w:pPr>
        <w:spacing w:after="0" w:line="225" w:lineRule="exact"/>
        <w:rPr>
          <w:rFonts w:ascii="Arial" w:cs="Arial" w:eastAsia="Arial" w:hAnsi="Arial"/>
          <w:sz w:val="18"/>
          <w:szCs w:val="18"/>
          <w:color w:val="auto"/>
        </w:rPr>
      </w:pPr>
    </w:p>
    <w:p>
      <w:pPr>
        <w:ind w:left="660" w:right="240"/>
        <w:spacing w:after="0" w:line="277" w:lineRule="auto"/>
        <w:rPr>
          <w:rFonts w:ascii="Arial" w:cs="Arial" w:eastAsia="Arial" w:hAnsi="Arial"/>
          <w:sz w:val="18"/>
          <w:szCs w:val="18"/>
          <w:color w:val="auto"/>
        </w:rPr>
      </w:pPr>
      <w:r>
        <w:rPr>
          <w:rFonts w:ascii="Arial" w:cs="Arial" w:eastAsia="Arial" w:hAnsi="Arial"/>
          <w:sz w:val="18"/>
          <w:szCs w:val="18"/>
          <w:color w:val="auto"/>
        </w:rPr>
        <w:t>We plan to investigate additional delivery systems and additional routes of administration for 5-MeO-DMT, which we believe could expand the patient population that could benefit from our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Expanding our intellectual property portfolio around 5-MeO-DMT</w:t>
      </w:r>
    </w:p>
    <w:p>
      <w:pPr>
        <w:spacing w:after="0" w:line="225" w:lineRule="exact"/>
        <w:rPr>
          <w:rFonts w:ascii="Arial" w:cs="Arial" w:eastAsia="Arial" w:hAnsi="Arial"/>
          <w:sz w:val="18"/>
          <w:szCs w:val="18"/>
          <w:color w:val="auto"/>
        </w:rPr>
      </w:pPr>
    </w:p>
    <w:p>
      <w:pPr>
        <w:ind w:left="660" w:right="60"/>
        <w:spacing w:after="0" w:line="257" w:lineRule="auto"/>
        <w:rPr>
          <w:rFonts w:ascii="Arial" w:cs="Arial" w:eastAsia="Arial" w:hAnsi="Arial"/>
          <w:sz w:val="18"/>
          <w:szCs w:val="18"/>
          <w:color w:val="auto"/>
        </w:rPr>
      </w:pPr>
      <w:r>
        <w:rPr>
          <w:rFonts w:ascii="Arial" w:cs="Arial" w:eastAsia="Arial" w:hAnsi="Arial"/>
          <w:sz w:val="18"/>
          <w:szCs w:val="18"/>
          <w:color w:val="auto"/>
        </w:rPr>
        <w:t>We have filed several patent applications covering novel aerosol compositions of matter of 5-MeO-DMT, novel manufacturing methods for the synthesis and for the purification of 5-MeO-DMT, high purity 5-MeO-DMT, novel salt forms of 5-MeO-DMT and novel uses of 5-MeO-DMT in various disorders. We are committed to exploring additional opportunities with 5-MeO-DMT through ongoing research and development, including for use of 5-MeO-DMT in new indications where 5-MeO-DMT has the potential to provide a therapeutic benefit and for additional drug delivery approaches that provide alternatives to the patient.</w:t>
      </w:r>
    </w:p>
    <w:p>
      <w:pPr>
        <w:spacing w:after="0" w:line="18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Maximizing the value of our product portfolio by building internal commercialization infrastructure and entering selective partnerships</w:t>
      </w:r>
    </w:p>
    <w:p>
      <w:pPr>
        <w:spacing w:after="0" w:line="225" w:lineRule="exact"/>
        <w:rPr>
          <w:rFonts w:ascii="Arial" w:cs="Arial" w:eastAsia="Arial" w:hAnsi="Arial"/>
          <w:sz w:val="18"/>
          <w:szCs w:val="18"/>
          <w:color w:val="auto"/>
        </w:rPr>
      </w:pPr>
    </w:p>
    <w:p>
      <w:pPr>
        <w:ind w:left="660" w:right="100"/>
        <w:spacing w:after="0" w:line="301" w:lineRule="auto"/>
        <w:rPr>
          <w:rFonts w:ascii="Arial" w:cs="Arial" w:eastAsia="Arial" w:hAnsi="Arial"/>
          <w:sz w:val="18"/>
          <w:szCs w:val="18"/>
          <w:color w:val="auto"/>
        </w:rPr>
      </w:pPr>
      <w:r>
        <w:rPr>
          <w:rFonts w:ascii="Arial" w:cs="Arial" w:eastAsia="Arial" w:hAnsi="Arial"/>
          <w:sz w:val="16"/>
          <w:szCs w:val="16"/>
          <w:color w:val="auto"/>
        </w:rPr>
        <w:t>We retain global development and commercialization rights for our product candidates and are developing a commercialization plan where we anticipate working with payors to enable reimbursement and with health systems to enable broad patient access. Subject to regulatory approval of our product candidates, we plan to develop and use our own sales and marketing capabilities to target public and private healthcare providers and clinic networks. We may also enter into commercialization collaborations with third parties who have complementary commercial capabilities.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are developing our 5-MeO-DMT product candidates for the treatment of a range of psychiatric and neurological disorders, with an initial focus on TRD, where there is a large unmet medical need. Our goal is to develop new therapies that are rapidly acting, highly effective, well tolerated and conveniently administered.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MDD and TRD Overview</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MDD is a serious mental health condition characterized by recurring episodes where feelings of sadness, loss of interest and other heightened negative emotions occur most of the day, nearly every day. MDD is associated with substantial morbidity, diminished quality of life and reduced life expectancy. The World Health Organization, or WHO, estimated that, as of 2015, more than 320 million people suffered from MDD worldwide and concluded that MDD is the single largest contributor to global disability, accounting for 7.5% of all years lived with disability.</w:t>
      </w:r>
    </w:p>
    <w:p>
      <w:pPr>
        <w:spacing w:after="0" w:line="171"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Many experts believe the global burden of MDD will further increase significantly in the wake of the coronavirus disease 2019, or COVID-19, pandemic. Depression symptom prevalence among adults in the United States has been reported to be threefold higher during the COVID-19 pandemic than before.</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Unfortunately, the efficacy of the existing anti-depressive treatments is limited by a slow onset of response, and a significant proportion of patients do not adequately respond even after multiple lines of therapy. The STAR*D study, a collaborative study funded by the U.S. National Institute of Mental Health, was designed to assess effectiveness of four different treatment steps, which included both pharmacological and psychotherapeutic approaches, in a generalizable population of patients with depression. An American Journal of Psychiatry report on the STAR*D study by John Rush and co-authors summarized the acute and longer-term outcomes for all four successive treatment steps. The study reported both rates of remission, defined as a score of equal or less than 5 on the 16-item, clinician-rated Quick Inventory of Depressive Symptomatology, or QIDS-C16, and rates of response, defined as at least a 50% reduction in QIDS-C16 from treatment step entry. This STAR*D study found that remission rates were approximately 37%, 31%, 14% and 13% for the first, second, third and fourth treatment steps, respectively, and that the average time to remission in those who did remit across all treatment steps extended to about five to seven weeks. Approximately 33% of patients in the STAR*D study did not achieve a remission despite undergoing four treatment steps.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3" w:name="page94"/>
    <w:bookmarkEnd w:id="9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252095</wp:posOffset>
            </wp:positionV>
            <wp:extent cx="4328795" cy="74498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28795" cy="7449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4" w:name="page95"/>
    <w:bookmarkEnd w:id="9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Patients with MDD who have not adequately responded to adequate therapy clearly have harder-to-treat depression, generally referred to as TRD. There is no consensus definition for TRD, but in the context of clinical trials, failure of at least one pharmacotherapy, one pharmacotherapy and one psychotherapy, or two pharmacotherapies have been used, the latter having been referred to by regulatory authorities as patients with TRD. The STAR*D study demonstrated that approximately 37% of patients with MDD did not achieve a response despite two treatment steps. Based on this result and based on an estimated number of approximately 48 million MDD patients in the United States and Europe according to the National Institute of Mental Health and an article published in European Neuropsychopharmacology, of which, according to the National Institute of Mental Health, about 50% receive treatment with pharmacotherapy or pharmacotherapy and psychotherapy, we estimate that there are approximately nine million TRD patients in the United States and Europe who would be candidates for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122555</wp:posOffset>
            </wp:positionV>
            <wp:extent cx="4937760" cy="27171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3776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Despite this substantial patient population, only two pharmacotherapies have been approved specifically for the treatment of TRD in the United States: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esketamine and a combination of olanzapine and fluoxetine, an antipsychotic and antidepressant,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and Societal Burden</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Global mental illness-associated costs, including direct costs associated with diagnosis, treatment and care and indirect costs associated with lost productivity and income, were estimated at $2.5 trillion for the year 2010, with the cost projected to surge to $6 trillion by 2030, whereby about two-thirds of the total cost comes from indirect costs, according to a report by the World Economic Forum and the Harvard School of Public Health. According to an article published in the Journal of Clinical Psychiatry, for the United States, the economic burden of MDD alone is estimated to be over $200 billion per year as of 2010, and roughly 47% of this amount is attributable to direct costs, and between 2005 and 2010, the total economic burden of MDD increased by approximately 22%.</w:t>
      </w:r>
    </w:p>
    <w:p>
      <w:pPr>
        <w:spacing w:after="0" w:line="19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TRD has a greater economic and societal cost than non-TRD MDD. TRD patients are often unable to perform daily tasks, are less productive at work and have higher rates of unemployment. They are also more likely to receive disability or welfare benefits and are reported to have a higher rate of co-occurring conditions, including diabetes, anemia and hypertension. According to an article published in the Journal of the Oklahoma State Medical Association, the TRD patient population has an approximate sevenfold increase in suicide rates compared to non-TRD MDD patients. Research conducted in 2018 and published in the Journal of Affective Disorders suggests that the proportion of patients suffering with TRD attempting suicide at least once during their lifetime could be as high as 30%.</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5" w:name="page96"/>
    <w:bookmarkEnd w:id="9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According to a report published in the Journal of Affective Disorders, direct medical costs are approximately two- to threefold higher for TRD patients compared to non-TRD MDD patients. TRD patients have higher prescriptions costs, require more doctor visits and experience increased rates of hospitalization. They also have, on average, twice the number of inpatient visits compared with non-TRD MDD patients and their hospital stays are approximately 36% longer on average, according to an article published in the Journal of Clinical Psychiatry.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Therapies for Depression</w:t>
      </w:r>
    </w:p>
    <w:p>
      <w:pPr>
        <w:spacing w:after="0" w:line="225"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Because depression has a diverse set of biological, social, psychological, environmental, genetic and stress-related determinants, many of which co-occur, treatment options are wide-ranging and often combined. Current pharmacological and non-pharmacological treatments are efficacious only for a subset of MDD patients, and many patients do not respond or experience relapses. Clinicians lack high-quality evidence of whether certain therapies are suitable for certain patients and often rely on a lengthy trial-and-error approach, course-correcting as patients experience relapses or difficult side effects.</w:t>
      </w:r>
    </w:p>
    <w:p>
      <w:pPr>
        <w:spacing w:after="0" w:line="152"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98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Reimbursement</w:t>
            </w:r>
            <w:r>
              <w:rPr>
                <w:rFonts w:ascii="Arial" w:cs="Arial" w:eastAsia="Arial" w:hAnsi="Arial"/>
                <w:sz w:val="29"/>
                <w:szCs w:val="29"/>
                <w:b w:val="1"/>
                <w:bCs w:val="1"/>
                <w:color w:val="auto"/>
                <w:vertAlign w:val="superscript"/>
              </w:rPr>
              <w:t>(1)</w:t>
            </w:r>
          </w:p>
        </w:tc>
        <w:tc>
          <w:tcPr>
            <w:tcW w:w="222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Approximate annual cost</w:t>
            </w:r>
          </w:p>
        </w:tc>
        <w:tc>
          <w:tcPr>
            <w:tcW w:w="0" w:type="dxa"/>
            <w:vAlign w:val="bottom"/>
          </w:tcPr>
          <w:p>
            <w:pPr>
              <w:spacing w:after="0"/>
              <w:rPr>
                <w:sz w:val="1"/>
                <w:szCs w:val="1"/>
                <w:color w:val="auto"/>
              </w:rPr>
            </w:pPr>
          </w:p>
        </w:tc>
      </w:tr>
      <w:tr>
        <w:trPr>
          <w:trHeight w:val="273"/>
        </w:trPr>
        <w:tc>
          <w:tcPr>
            <w:tcW w:w="1480" w:type="dxa"/>
            <w:vAlign w:val="bottom"/>
          </w:tcPr>
          <w:p>
            <w:pPr>
              <w:spacing w:after="0"/>
              <w:rPr>
                <w:sz w:val="20"/>
                <w:szCs w:val="20"/>
                <w:color w:val="auto"/>
              </w:rPr>
            </w:pPr>
            <w:r>
              <w:rPr>
                <w:rFonts w:ascii="Arial" w:cs="Arial" w:eastAsia="Arial" w:hAnsi="Arial"/>
                <w:sz w:val="18"/>
                <w:szCs w:val="18"/>
                <w:b w:val="1"/>
                <w:bCs w:val="1"/>
                <w:color w:val="auto"/>
              </w:rPr>
              <w:t>Therapy</w:t>
            </w:r>
          </w:p>
        </w:tc>
        <w:tc>
          <w:tcPr>
            <w:tcW w:w="1860" w:type="dxa"/>
            <w:vAlign w:val="bottom"/>
          </w:tcPr>
          <w:p>
            <w:pPr>
              <w:ind w:left="820"/>
              <w:spacing w:after="0"/>
              <w:rPr>
                <w:sz w:val="20"/>
                <w:szCs w:val="20"/>
                <w:color w:val="auto"/>
              </w:rPr>
            </w:pPr>
            <w:r>
              <w:rPr>
                <w:rFonts w:ascii="Arial" w:cs="Arial" w:eastAsia="Arial" w:hAnsi="Arial"/>
                <w:sz w:val="18"/>
                <w:szCs w:val="18"/>
                <w:b w:val="1"/>
                <w:bCs w:val="1"/>
                <w:color w:val="auto"/>
              </w:rPr>
              <w:t>Route</w:t>
            </w:r>
          </w:p>
        </w:tc>
        <w:tc>
          <w:tcPr>
            <w:tcW w:w="2740" w:type="dxa"/>
            <w:vAlign w:val="bottom"/>
          </w:tcPr>
          <w:p>
            <w:pPr>
              <w:ind w:left="560"/>
              <w:spacing w:after="0"/>
              <w:rPr>
                <w:sz w:val="20"/>
                <w:szCs w:val="20"/>
                <w:color w:val="auto"/>
              </w:rPr>
            </w:pPr>
            <w:r>
              <w:rPr>
                <w:rFonts w:ascii="Arial" w:cs="Arial" w:eastAsia="Arial" w:hAnsi="Arial"/>
                <w:sz w:val="18"/>
                <w:szCs w:val="18"/>
                <w:b w:val="1"/>
                <w:bCs w:val="1"/>
                <w:color w:val="auto"/>
              </w:rPr>
              <w:t>Frequency and duration</w:t>
            </w:r>
          </w:p>
        </w:tc>
        <w:tc>
          <w:tcPr>
            <w:tcW w:w="1980" w:type="dxa"/>
            <w:vAlign w:val="bottom"/>
            <w:vMerge w:val="continue"/>
          </w:tcPr>
          <w:p>
            <w:pPr>
              <w:spacing w:after="0"/>
              <w:rPr>
                <w:sz w:val="23"/>
                <w:szCs w:val="23"/>
                <w:color w:val="auto"/>
              </w:rPr>
            </w:pPr>
          </w:p>
        </w:tc>
        <w:tc>
          <w:tcPr>
            <w:tcW w:w="2220" w:type="dxa"/>
            <w:vAlign w:val="bottom"/>
          </w:tcPr>
          <w:p>
            <w:pPr>
              <w:jc w:val="center"/>
              <w:ind w:left="190"/>
              <w:spacing w:after="0" w:line="273" w:lineRule="exact"/>
              <w:rPr>
                <w:sz w:val="20"/>
                <w:szCs w:val="20"/>
                <w:color w:val="auto"/>
              </w:rPr>
            </w:pPr>
            <w:r>
              <w:rPr>
                <w:rFonts w:ascii="Arial" w:cs="Arial" w:eastAsia="Arial" w:hAnsi="Arial"/>
                <w:sz w:val="18"/>
                <w:szCs w:val="18"/>
                <w:b w:val="1"/>
                <w:bCs w:val="1"/>
                <w:color w:val="auto"/>
                <w:w w:val="88"/>
              </w:rPr>
              <w:t>per patient</w:t>
            </w:r>
            <w:r>
              <w:rPr>
                <w:rFonts w:ascii="Arial" w:cs="Arial" w:eastAsia="Arial" w:hAnsi="Arial"/>
                <w:sz w:val="29"/>
                <w:szCs w:val="29"/>
                <w:b w:val="1"/>
                <w:bCs w:val="1"/>
                <w:color w:val="auto"/>
                <w:w w:val="88"/>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tbl>
      <w:tblPr>
        <w:tblLayout w:type="fixed"/>
        <w:tblInd w:w="0" w:type="dxa"/>
        <w:tblCellMar>
          <w:top w:w="0" w:type="dxa"/>
          <w:left w:w="0" w:type="dxa"/>
          <w:bottom w:w="0" w:type="dxa"/>
          <w:right w:w="0" w:type="dxa"/>
        </w:tblCellMar>
      </w:tblPr>
      <w:tr>
        <w:trPr>
          <w:trHeight w:val="200"/>
        </w:trPr>
        <w:tc>
          <w:tcPr>
            <w:tcW w:w="2100" w:type="dxa"/>
            <w:vAlign w:val="bottom"/>
          </w:tcPr>
          <w:p>
            <w:pPr>
              <w:spacing w:after="0" w:line="200" w:lineRule="exact"/>
              <w:rPr>
                <w:sz w:val="20"/>
                <w:szCs w:val="20"/>
                <w:color w:val="auto"/>
              </w:rPr>
            </w:pPr>
            <w:r>
              <w:rPr>
                <w:rFonts w:ascii="Arial" w:cs="Arial" w:eastAsia="Arial" w:hAnsi="Arial"/>
                <w:sz w:val="18"/>
                <w:szCs w:val="18"/>
                <w:color w:val="auto"/>
              </w:rPr>
              <w:t>Pharmacotherapies</w:t>
            </w:r>
          </w:p>
        </w:tc>
        <w:tc>
          <w:tcPr>
            <w:tcW w:w="22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Antidepressants:</w:t>
            </w:r>
          </w:p>
        </w:tc>
        <w:tc>
          <w:tcPr>
            <w:tcW w:w="22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SSRI/SNRI*</w:t>
            </w:r>
          </w:p>
        </w:tc>
        <w:tc>
          <w:tcPr>
            <w:tcW w:w="2260" w:type="dxa"/>
            <w:vAlign w:val="bottom"/>
          </w:tcPr>
          <w:p>
            <w:pPr>
              <w:ind w:left="160"/>
              <w:spacing w:after="0"/>
              <w:rPr>
                <w:sz w:val="20"/>
                <w:szCs w:val="20"/>
                <w:color w:val="auto"/>
              </w:rPr>
            </w:pPr>
            <w:r>
              <w:rPr>
                <w:rFonts w:ascii="Arial" w:cs="Arial" w:eastAsia="Arial" w:hAnsi="Arial"/>
                <w:sz w:val="18"/>
                <w:szCs w:val="18"/>
                <w:color w:val="auto"/>
              </w:rPr>
              <w:t>Oral</w:t>
            </w:r>
          </w:p>
        </w:tc>
        <w:tc>
          <w:tcPr>
            <w:tcW w:w="2400" w:type="dxa"/>
            <w:vAlign w:val="bottom"/>
          </w:tcPr>
          <w:p>
            <w:pPr>
              <w:ind w:left="160"/>
              <w:spacing w:after="0"/>
              <w:rPr>
                <w:sz w:val="20"/>
                <w:szCs w:val="20"/>
                <w:color w:val="auto"/>
              </w:rPr>
            </w:pPr>
            <w:r>
              <w:rPr>
                <w:rFonts w:ascii="Arial" w:cs="Arial" w:eastAsia="Arial" w:hAnsi="Arial"/>
                <w:sz w:val="18"/>
                <w:szCs w:val="18"/>
                <w:color w:val="auto"/>
              </w:rPr>
              <w:t>1/day, chronic</w:t>
            </w:r>
          </w:p>
        </w:tc>
        <w:tc>
          <w:tcPr>
            <w:tcW w:w="560" w:type="dxa"/>
            <w:vAlign w:val="bottom"/>
          </w:tcPr>
          <w:p>
            <w:pPr>
              <w:spacing w:after="0"/>
              <w:rPr>
                <w:sz w:val="20"/>
                <w:szCs w:val="20"/>
                <w:color w:val="auto"/>
              </w:rPr>
            </w:pPr>
            <w:r>
              <w:rPr>
                <w:rFonts w:ascii="Arial" w:cs="Arial" w:eastAsia="Arial" w:hAnsi="Arial"/>
                <w:sz w:val="18"/>
                <w:szCs w:val="18"/>
                <w:color w:val="auto"/>
              </w:rPr>
              <w:t>Broad</w:t>
            </w:r>
          </w:p>
        </w:tc>
      </w:tr>
      <w:tr>
        <w:trPr>
          <w:trHeight w:val="418"/>
        </w:trPr>
        <w:tc>
          <w:tcPr>
            <w:tcW w:w="2100" w:type="dxa"/>
            <w:vAlign w:val="bottom"/>
          </w:tcPr>
          <w:p>
            <w:pPr>
              <w:spacing w:after="0"/>
              <w:rPr>
                <w:sz w:val="20"/>
                <w:szCs w:val="20"/>
                <w:color w:val="auto"/>
              </w:rPr>
            </w:pPr>
            <w:r>
              <w:rPr>
                <w:rFonts w:ascii="Arial" w:cs="Arial" w:eastAsia="Arial" w:hAnsi="Arial"/>
                <w:sz w:val="18"/>
                <w:szCs w:val="18"/>
                <w:color w:val="auto"/>
              </w:rPr>
              <w:t>Atypical antipsychotics</w:t>
            </w:r>
          </w:p>
        </w:tc>
        <w:tc>
          <w:tcPr>
            <w:tcW w:w="2260" w:type="dxa"/>
            <w:vAlign w:val="bottom"/>
          </w:tcPr>
          <w:p>
            <w:pPr>
              <w:ind w:left="160"/>
              <w:spacing w:after="0"/>
              <w:rPr>
                <w:sz w:val="20"/>
                <w:szCs w:val="20"/>
                <w:color w:val="auto"/>
              </w:rPr>
            </w:pPr>
            <w:r>
              <w:rPr>
                <w:rFonts w:ascii="Arial" w:cs="Arial" w:eastAsia="Arial" w:hAnsi="Arial"/>
                <w:sz w:val="18"/>
                <w:szCs w:val="18"/>
                <w:color w:val="auto"/>
              </w:rPr>
              <w:t>Oral</w:t>
            </w:r>
          </w:p>
        </w:tc>
        <w:tc>
          <w:tcPr>
            <w:tcW w:w="2400" w:type="dxa"/>
            <w:vAlign w:val="bottom"/>
          </w:tcPr>
          <w:p>
            <w:pPr>
              <w:ind w:left="160"/>
              <w:spacing w:after="0"/>
              <w:rPr>
                <w:sz w:val="20"/>
                <w:szCs w:val="20"/>
                <w:color w:val="auto"/>
              </w:rPr>
            </w:pPr>
            <w:r>
              <w:rPr>
                <w:rFonts w:ascii="Arial" w:cs="Arial" w:eastAsia="Arial" w:hAnsi="Arial"/>
                <w:sz w:val="18"/>
                <w:szCs w:val="18"/>
                <w:color w:val="auto"/>
              </w:rPr>
              <w:t>1/day, chronic</w:t>
            </w:r>
          </w:p>
        </w:tc>
        <w:tc>
          <w:tcPr>
            <w:tcW w:w="560" w:type="dxa"/>
            <w:vAlign w:val="bottom"/>
          </w:tcPr>
          <w:p>
            <w:pPr>
              <w:spacing w:after="0"/>
              <w:rPr>
                <w:sz w:val="20"/>
                <w:szCs w:val="20"/>
                <w:color w:val="auto"/>
              </w:rPr>
            </w:pPr>
            <w:r>
              <w:rPr>
                <w:rFonts w:ascii="Arial" w:cs="Arial" w:eastAsia="Arial" w:hAnsi="Arial"/>
                <w:sz w:val="18"/>
                <w:szCs w:val="18"/>
                <w:color w:val="auto"/>
              </w:rPr>
              <w:t>Broad</w:t>
            </w:r>
          </w:p>
        </w:tc>
      </w:tr>
      <w:tr>
        <w:trPr>
          <w:trHeight w:val="216"/>
        </w:trPr>
        <w:tc>
          <w:tcPr>
            <w:tcW w:w="2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w w:val="92"/>
              </w:rPr>
              <w:t>Up to 56 sessions/year, under</w:t>
            </w:r>
          </w:p>
        </w:tc>
        <w:tc>
          <w:tcPr>
            <w:tcW w:w="56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supervision of a healthcare</w:t>
            </w:r>
          </w:p>
        </w:tc>
        <w:tc>
          <w:tcPr>
            <w:tcW w:w="5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Esketamine</w:t>
            </w:r>
          </w:p>
        </w:tc>
        <w:tc>
          <w:tcPr>
            <w:tcW w:w="2260" w:type="dxa"/>
            <w:vAlign w:val="bottom"/>
          </w:tcPr>
          <w:p>
            <w:pPr>
              <w:ind w:left="160"/>
              <w:spacing w:after="0"/>
              <w:rPr>
                <w:sz w:val="20"/>
                <w:szCs w:val="20"/>
                <w:color w:val="auto"/>
              </w:rPr>
            </w:pPr>
            <w:r>
              <w:rPr>
                <w:rFonts w:ascii="Arial" w:cs="Arial" w:eastAsia="Arial" w:hAnsi="Arial"/>
                <w:sz w:val="18"/>
                <w:szCs w:val="18"/>
                <w:color w:val="auto"/>
              </w:rPr>
              <w:t>Intranasal</w:t>
            </w:r>
          </w:p>
        </w:tc>
        <w:tc>
          <w:tcPr>
            <w:tcW w:w="2400" w:type="dxa"/>
            <w:vAlign w:val="bottom"/>
          </w:tcPr>
          <w:p>
            <w:pPr>
              <w:ind w:left="160"/>
              <w:spacing w:after="0"/>
              <w:rPr>
                <w:sz w:val="20"/>
                <w:szCs w:val="20"/>
                <w:color w:val="auto"/>
              </w:rPr>
            </w:pPr>
            <w:r>
              <w:rPr>
                <w:rFonts w:ascii="Arial" w:cs="Arial" w:eastAsia="Arial" w:hAnsi="Arial"/>
                <w:sz w:val="18"/>
                <w:szCs w:val="18"/>
                <w:color w:val="auto"/>
              </w:rPr>
              <w:t>professional</w:t>
            </w:r>
          </w:p>
        </w:tc>
        <w:tc>
          <w:tcPr>
            <w:tcW w:w="560" w:type="dxa"/>
            <w:vAlign w:val="bottom"/>
          </w:tcPr>
          <w:p>
            <w:pPr>
              <w:spacing w:after="0"/>
              <w:rPr>
                <w:sz w:val="20"/>
                <w:szCs w:val="20"/>
                <w:color w:val="auto"/>
              </w:rPr>
            </w:pPr>
            <w:r>
              <w:rPr>
                <w:rFonts w:ascii="Arial" w:cs="Arial" w:eastAsia="Arial" w:hAnsi="Arial"/>
                <w:sz w:val="18"/>
                <w:szCs w:val="18"/>
                <w:color w:val="auto"/>
                <w:w w:val="92"/>
              </w:rPr>
              <w:t>Limited</w:t>
            </w:r>
          </w:p>
        </w:tc>
      </w:tr>
      <w:tr>
        <w:trPr>
          <w:trHeight w:val="216"/>
        </w:trPr>
        <w:tc>
          <w:tcPr>
            <w:tcW w:w="2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Up to 6 injections, then 4-6</w:t>
            </w:r>
          </w:p>
        </w:tc>
        <w:tc>
          <w:tcPr>
            <w:tcW w:w="5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Ketamine</w:t>
            </w:r>
          </w:p>
        </w:tc>
        <w:tc>
          <w:tcPr>
            <w:tcW w:w="2260" w:type="dxa"/>
            <w:vAlign w:val="bottom"/>
          </w:tcPr>
          <w:p>
            <w:pPr>
              <w:ind w:left="160"/>
              <w:spacing w:after="0"/>
              <w:rPr>
                <w:sz w:val="20"/>
                <w:szCs w:val="20"/>
                <w:color w:val="auto"/>
              </w:rPr>
            </w:pPr>
            <w:r>
              <w:rPr>
                <w:rFonts w:ascii="Arial" w:cs="Arial" w:eastAsia="Arial" w:hAnsi="Arial"/>
                <w:sz w:val="18"/>
                <w:szCs w:val="18"/>
                <w:color w:val="auto"/>
              </w:rPr>
              <w:t>Intravenous</w:t>
            </w:r>
          </w:p>
        </w:tc>
        <w:tc>
          <w:tcPr>
            <w:tcW w:w="2400" w:type="dxa"/>
            <w:vAlign w:val="bottom"/>
          </w:tcPr>
          <w:p>
            <w:pPr>
              <w:ind w:left="160"/>
              <w:spacing w:after="0"/>
              <w:rPr>
                <w:sz w:val="20"/>
                <w:szCs w:val="20"/>
                <w:color w:val="auto"/>
              </w:rPr>
            </w:pPr>
            <w:r>
              <w:rPr>
                <w:rFonts w:ascii="Arial" w:cs="Arial" w:eastAsia="Arial" w:hAnsi="Arial"/>
                <w:sz w:val="18"/>
                <w:szCs w:val="18"/>
                <w:color w:val="auto"/>
              </w:rPr>
              <w:t>weeks</w:t>
            </w:r>
          </w:p>
        </w:tc>
        <w:tc>
          <w:tcPr>
            <w:tcW w:w="560" w:type="dxa"/>
            <w:vAlign w:val="bottom"/>
          </w:tcPr>
          <w:p>
            <w:pPr>
              <w:spacing w:after="0"/>
              <w:rPr>
                <w:sz w:val="20"/>
                <w:szCs w:val="20"/>
                <w:color w:val="auto"/>
              </w:rPr>
            </w:pPr>
            <w:r>
              <w:rPr>
                <w:rFonts w:ascii="Arial" w:cs="Arial" w:eastAsia="Arial" w:hAnsi="Arial"/>
                <w:sz w:val="18"/>
                <w:szCs w:val="18"/>
                <w:color w:val="auto"/>
              </w:rPr>
              <w:t>No</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Psychotherapy</w:t>
            </w:r>
          </w:p>
        </w:tc>
        <w:tc>
          <w:tcPr>
            <w:tcW w:w="22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CBT (cognitive behavioral</w:t>
            </w:r>
          </w:p>
        </w:tc>
        <w:tc>
          <w:tcPr>
            <w:tcW w:w="226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10-20 sessions;</w:t>
            </w:r>
          </w:p>
        </w:tc>
        <w:tc>
          <w:tcPr>
            <w:tcW w:w="560" w:type="dxa"/>
            <w:vAlign w:val="bottom"/>
          </w:tcPr>
          <w:p>
            <w:pPr>
              <w:spacing w:after="0"/>
              <w:rPr>
                <w:sz w:val="18"/>
                <w:szCs w:val="18"/>
                <w:color w:val="auto"/>
              </w:rPr>
            </w:pPr>
          </w:p>
        </w:tc>
      </w:tr>
      <w:tr>
        <w:trPr>
          <w:trHeight w:val="216"/>
        </w:trPr>
        <w:tc>
          <w:tcPr>
            <w:tcW w:w="2100" w:type="dxa"/>
            <w:vAlign w:val="bottom"/>
          </w:tcPr>
          <w:p>
            <w:pPr>
              <w:ind w:left="180"/>
              <w:spacing w:after="0"/>
              <w:rPr>
                <w:sz w:val="20"/>
                <w:szCs w:val="20"/>
                <w:color w:val="auto"/>
              </w:rPr>
            </w:pPr>
            <w:r>
              <w:rPr>
                <w:rFonts w:ascii="Arial" w:cs="Arial" w:eastAsia="Arial" w:hAnsi="Arial"/>
                <w:sz w:val="18"/>
                <w:szCs w:val="18"/>
                <w:color w:val="auto"/>
              </w:rPr>
              <w:t>therapy)</w:t>
            </w:r>
          </w:p>
        </w:tc>
        <w:tc>
          <w:tcPr>
            <w:tcW w:w="2260" w:type="dxa"/>
            <w:vAlign w:val="bottom"/>
          </w:tcPr>
          <w:p>
            <w:pPr>
              <w:ind w:left="160"/>
              <w:spacing w:after="0"/>
              <w:rPr>
                <w:sz w:val="20"/>
                <w:szCs w:val="20"/>
                <w:color w:val="auto"/>
              </w:rPr>
            </w:pPr>
            <w:r>
              <w:rPr>
                <w:rFonts w:ascii="Arial" w:cs="Arial" w:eastAsia="Arial" w:hAnsi="Arial"/>
                <w:sz w:val="18"/>
                <w:szCs w:val="18"/>
                <w:color w:val="auto"/>
              </w:rPr>
              <w:t>Face-to-face or online</w:t>
            </w:r>
          </w:p>
        </w:tc>
        <w:tc>
          <w:tcPr>
            <w:tcW w:w="2400" w:type="dxa"/>
            <w:vAlign w:val="bottom"/>
          </w:tcPr>
          <w:p>
            <w:pPr>
              <w:ind w:left="160"/>
              <w:spacing w:after="0"/>
              <w:rPr>
                <w:sz w:val="20"/>
                <w:szCs w:val="20"/>
                <w:color w:val="auto"/>
              </w:rPr>
            </w:pPr>
            <w:r>
              <w:rPr>
                <w:rFonts w:ascii="Arial" w:cs="Arial" w:eastAsia="Arial" w:hAnsi="Arial"/>
                <w:sz w:val="18"/>
                <w:szCs w:val="18"/>
                <w:color w:val="auto"/>
              </w:rPr>
              <w:t>3-4 months</w:t>
            </w:r>
          </w:p>
        </w:tc>
        <w:tc>
          <w:tcPr>
            <w:tcW w:w="560" w:type="dxa"/>
            <w:vAlign w:val="bottom"/>
          </w:tcPr>
          <w:p>
            <w:pPr>
              <w:spacing w:after="0"/>
              <w:rPr>
                <w:sz w:val="20"/>
                <w:szCs w:val="20"/>
                <w:color w:val="auto"/>
              </w:rPr>
            </w:pPr>
            <w:r>
              <w:rPr>
                <w:rFonts w:ascii="Arial" w:cs="Arial" w:eastAsia="Arial" w:hAnsi="Arial"/>
                <w:sz w:val="18"/>
                <w:szCs w:val="18"/>
                <w:color w:val="auto"/>
              </w:rPr>
              <w:t>Broad</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Somatic Therapies</w:t>
            </w:r>
          </w:p>
        </w:tc>
        <w:tc>
          <w:tcPr>
            <w:tcW w:w="22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rTMS (repetitive</w:t>
            </w:r>
          </w:p>
        </w:tc>
        <w:tc>
          <w:tcPr>
            <w:tcW w:w="22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2100" w:type="dxa"/>
            <w:vAlign w:val="bottom"/>
          </w:tcPr>
          <w:p>
            <w:pPr>
              <w:ind w:left="180"/>
              <w:spacing w:after="0"/>
              <w:rPr>
                <w:sz w:val="20"/>
                <w:szCs w:val="20"/>
                <w:color w:val="auto"/>
              </w:rPr>
            </w:pPr>
            <w:r>
              <w:rPr>
                <w:rFonts w:ascii="Arial" w:cs="Arial" w:eastAsia="Arial" w:hAnsi="Arial"/>
                <w:sz w:val="18"/>
                <w:szCs w:val="18"/>
                <w:color w:val="auto"/>
              </w:rPr>
              <w:t>transcranial magnetic</w:t>
            </w:r>
          </w:p>
        </w:tc>
        <w:tc>
          <w:tcPr>
            <w:tcW w:w="2260" w:type="dxa"/>
            <w:vAlign w:val="bottom"/>
          </w:tcPr>
          <w:p>
            <w:pPr>
              <w:ind w:left="160"/>
              <w:spacing w:after="0"/>
              <w:rPr>
                <w:sz w:val="20"/>
                <w:szCs w:val="20"/>
                <w:color w:val="auto"/>
              </w:rPr>
            </w:pPr>
            <w:r>
              <w:rPr>
                <w:rFonts w:ascii="Arial" w:cs="Arial" w:eastAsia="Arial" w:hAnsi="Arial"/>
                <w:sz w:val="18"/>
                <w:szCs w:val="18"/>
                <w:color w:val="auto"/>
                <w:w w:val="99"/>
              </w:rPr>
              <w:t>Magnetic brain stimulation</w:t>
            </w:r>
          </w:p>
        </w:tc>
        <w:tc>
          <w:tcPr>
            <w:tcW w:w="2400" w:type="dxa"/>
            <w:vAlign w:val="bottom"/>
          </w:tcPr>
          <w:p>
            <w:pPr>
              <w:ind w:left="160"/>
              <w:spacing w:after="0"/>
              <w:rPr>
                <w:sz w:val="20"/>
                <w:szCs w:val="20"/>
                <w:color w:val="auto"/>
              </w:rPr>
            </w:pPr>
            <w:r>
              <w:rPr>
                <w:rFonts w:ascii="Arial" w:cs="Arial" w:eastAsia="Arial" w:hAnsi="Arial"/>
                <w:sz w:val="18"/>
                <w:szCs w:val="18"/>
                <w:color w:val="auto"/>
              </w:rPr>
              <w:t>5 sessions/week;</w:t>
            </w:r>
          </w:p>
        </w:tc>
        <w:tc>
          <w:tcPr>
            <w:tcW w:w="560" w:type="dxa"/>
            <w:vAlign w:val="bottom"/>
          </w:tcPr>
          <w:p>
            <w:pPr>
              <w:spacing w:after="0"/>
              <w:rPr>
                <w:sz w:val="18"/>
                <w:szCs w:val="18"/>
                <w:color w:val="auto"/>
              </w:rPr>
            </w:pPr>
          </w:p>
        </w:tc>
      </w:tr>
      <w:tr>
        <w:trPr>
          <w:trHeight w:val="216"/>
        </w:trPr>
        <w:tc>
          <w:tcPr>
            <w:tcW w:w="2100" w:type="dxa"/>
            <w:vAlign w:val="bottom"/>
          </w:tcPr>
          <w:p>
            <w:pPr>
              <w:ind w:left="180"/>
              <w:spacing w:after="0"/>
              <w:rPr>
                <w:sz w:val="20"/>
                <w:szCs w:val="20"/>
                <w:color w:val="auto"/>
              </w:rPr>
            </w:pPr>
            <w:r>
              <w:rPr>
                <w:rFonts w:ascii="Arial" w:cs="Arial" w:eastAsia="Arial" w:hAnsi="Arial"/>
                <w:sz w:val="18"/>
                <w:szCs w:val="18"/>
                <w:color w:val="auto"/>
              </w:rPr>
              <w:t>stimulation)</w:t>
            </w:r>
          </w:p>
        </w:tc>
        <w:tc>
          <w:tcPr>
            <w:tcW w:w="2260" w:type="dxa"/>
            <w:vAlign w:val="bottom"/>
          </w:tcPr>
          <w:p>
            <w:pPr>
              <w:ind w:left="160"/>
              <w:spacing w:after="0"/>
              <w:rPr>
                <w:sz w:val="20"/>
                <w:szCs w:val="20"/>
                <w:color w:val="auto"/>
              </w:rPr>
            </w:pPr>
            <w:r>
              <w:rPr>
                <w:rFonts w:ascii="Arial" w:cs="Arial" w:eastAsia="Arial" w:hAnsi="Arial"/>
                <w:sz w:val="18"/>
                <w:szCs w:val="18"/>
                <w:color w:val="auto"/>
              </w:rPr>
              <w:t>without anaesthesia</w:t>
            </w:r>
          </w:p>
        </w:tc>
        <w:tc>
          <w:tcPr>
            <w:tcW w:w="2400" w:type="dxa"/>
            <w:vAlign w:val="bottom"/>
          </w:tcPr>
          <w:p>
            <w:pPr>
              <w:ind w:left="160"/>
              <w:spacing w:after="0"/>
              <w:rPr>
                <w:sz w:val="20"/>
                <w:szCs w:val="20"/>
                <w:color w:val="auto"/>
              </w:rPr>
            </w:pPr>
            <w:r>
              <w:rPr>
                <w:rFonts w:ascii="Arial" w:cs="Arial" w:eastAsia="Arial" w:hAnsi="Arial"/>
                <w:sz w:val="18"/>
                <w:szCs w:val="18"/>
                <w:color w:val="auto"/>
              </w:rPr>
              <w:t>4-5 weeks</w:t>
            </w:r>
          </w:p>
        </w:tc>
        <w:tc>
          <w:tcPr>
            <w:tcW w:w="560" w:type="dxa"/>
            <w:vAlign w:val="bottom"/>
          </w:tcPr>
          <w:p>
            <w:pPr>
              <w:spacing w:after="0"/>
              <w:rPr>
                <w:sz w:val="20"/>
                <w:szCs w:val="20"/>
                <w:color w:val="auto"/>
              </w:rPr>
            </w:pPr>
            <w:r>
              <w:rPr>
                <w:rFonts w:ascii="Arial" w:cs="Arial" w:eastAsia="Arial" w:hAnsi="Arial"/>
                <w:sz w:val="18"/>
                <w:szCs w:val="18"/>
                <w:color w:val="auto"/>
                <w:w w:val="92"/>
              </w:rPr>
              <w:t>Limited</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ECT (electroconvulsive</w:t>
            </w:r>
          </w:p>
        </w:tc>
        <w:tc>
          <w:tcPr>
            <w:tcW w:w="2260" w:type="dxa"/>
            <w:vAlign w:val="bottom"/>
          </w:tcPr>
          <w:p>
            <w:pPr>
              <w:ind w:left="160"/>
              <w:spacing w:after="0"/>
              <w:rPr>
                <w:sz w:val="20"/>
                <w:szCs w:val="20"/>
                <w:color w:val="auto"/>
              </w:rPr>
            </w:pPr>
            <w:r>
              <w:rPr>
                <w:rFonts w:ascii="Arial" w:cs="Arial" w:eastAsia="Arial" w:hAnsi="Arial"/>
                <w:sz w:val="18"/>
                <w:szCs w:val="18"/>
                <w:color w:val="auto"/>
              </w:rPr>
              <w:t>Electric brain stimulation</w:t>
            </w:r>
          </w:p>
        </w:tc>
        <w:tc>
          <w:tcPr>
            <w:tcW w:w="2400" w:type="dxa"/>
            <w:vAlign w:val="bottom"/>
          </w:tcPr>
          <w:p>
            <w:pPr>
              <w:ind w:left="160"/>
              <w:spacing w:after="0"/>
              <w:rPr>
                <w:sz w:val="20"/>
                <w:szCs w:val="20"/>
                <w:color w:val="auto"/>
              </w:rPr>
            </w:pPr>
            <w:r>
              <w:rPr>
                <w:rFonts w:ascii="Arial" w:cs="Arial" w:eastAsia="Arial" w:hAnsi="Arial"/>
                <w:sz w:val="18"/>
                <w:szCs w:val="18"/>
                <w:color w:val="auto"/>
              </w:rPr>
              <w:t>3 sessions/week;</w:t>
            </w:r>
          </w:p>
        </w:tc>
        <w:tc>
          <w:tcPr>
            <w:tcW w:w="560" w:type="dxa"/>
            <w:vAlign w:val="bottom"/>
          </w:tcPr>
          <w:p>
            <w:pPr>
              <w:spacing w:after="0"/>
              <w:rPr>
                <w:sz w:val="18"/>
                <w:szCs w:val="18"/>
                <w:color w:val="auto"/>
              </w:rPr>
            </w:pPr>
          </w:p>
        </w:tc>
      </w:tr>
      <w:tr>
        <w:trPr>
          <w:trHeight w:val="216"/>
        </w:trPr>
        <w:tc>
          <w:tcPr>
            <w:tcW w:w="2100" w:type="dxa"/>
            <w:vAlign w:val="bottom"/>
          </w:tcPr>
          <w:p>
            <w:pPr>
              <w:ind w:left="180"/>
              <w:spacing w:after="0"/>
              <w:rPr>
                <w:sz w:val="20"/>
                <w:szCs w:val="20"/>
                <w:color w:val="auto"/>
              </w:rPr>
            </w:pPr>
            <w:r>
              <w:rPr>
                <w:rFonts w:ascii="Arial" w:cs="Arial" w:eastAsia="Arial" w:hAnsi="Arial"/>
                <w:sz w:val="18"/>
                <w:szCs w:val="18"/>
                <w:color w:val="auto"/>
              </w:rPr>
              <w:t>therapy)</w:t>
            </w:r>
          </w:p>
        </w:tc>
        <w:tc>
          <w:tcPr>
            <w:tcW w:w="2260" w:type="dxa"/>
            <w:vAlign w:val="bottom"/>
          </w:tcPr>
          <w:p>
            <w:pPr>
              <w:ind w:left="160"/>
              <w:spacing w:after="0"/>
              <w:rPr>
                <w:sz w:val="20"/>
                <w:szCs w:val="20"/>
                <w:color w:val="auto"/>
              </w:rPr>
            </w:pPr>
            <w:r>
              <w:rPr>
                <w:rFonts w:ascii="Arial" w:cs="Arial" w:eastAsia="Arial" w:hAnsi="Arial"/>
                <w:sz w:val="18"/>
                <w:szCs w:val="18"/>
                <w:color w:val="auto"/>
              </w:rPr>
              <w:t>under anaesthesia</w:t>
            </w:r>
          </w:p>
        </w:tc>
        <w:tc>
          <w:tcPr>
            <w:tcW w:w="2400" w:type="dxa"/>
            <w:vAlign w:val="bottom"/>
          </w:tcPr>
          <w:p>
            <w:pPr>
              <w:ind w:left="160"/>
              <w:spacing w:after="0"/>
              <w:rPr>
                <w:sz w:val="20"/>
                <w:szCs w:val="20"/>
                <w:color w:val="auto"/>
              </w:rPr>
            </w:pPr>
            <w:r>
              <w:rPr>
                <w:rFonts w:ascii="Arial" w:cs="Arial" w:eastAsia="Arial" w:hAnsi="Arial"/>
                <w:sz w:val="18"/>
                <w:szCs w:val="18"/>
                <w:color w:val="auto"/>
              </w:rPr>
              <w:t>4+ weeks</w:t>
            </w:r>
          </w:p>
        </w:tc>
        <w:tc>
          <w:tcPr>
            <w:tcW w:w="560" w:type="dxa"/>
            <w:vAlign w:val="bottom"/>
          </w:tcPr>
          <w:p>
            <w:pPr>
              <w:spacing w:after="0"/>
              <w:rPr>
                <w:sz w:val="20"/>
                <w:szCs w:val="20"/>
                <w:color w:val="auto"/>
              </w:rPr>
            </w:pPr>
            <w:r>
              <w:rPr>
                <w:rFonts w:ascii="Arial" w:cs="Arial" w:eastAsia="Arial" w:hAnsi="Arial"/>
                <w:sz w:val="18"/>
                <w:szCs w:val="18"/>
                <w:color w:val="auto"/>
                <w:w w:val="92"/>
              </w:rPr>
              <w:t>Limited</w:t>
            </w:r>
          </w:p>
        </w:tc>
      </w:tr>
      <w:tr>
        <w:trPr>
          <w:trHeight w:val="216"/>
        </w:trPr>
        <w:tc>
          <w:tcPr>
            <w:tcW w:w="2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w w:val="92"/>
              </w:rPr>
              <w:t>Duration varies from patient to</w:t>
            </w:r>
          </w:p>
        </w:tc>
        <w:tc>
          <w:tcPr>
            <w:tcW w:w="56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w w:val="96"/>
              </w:rPr>
              <w:t>patient – stimulator must first</w:t>
            </w:r>
          </w:p>
        </w:tc>
        <w:tc>
          <w:tcPr>
            <w:tcW w:w="56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be implanted and given at a</w:t>
            </w:r>
          </w:p>
        </w:tc>
        <w:tc>
          <w:tcPr>
            <w:tcW w:w="56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VNS (vagus nerve</w:t>
            </w:r>
          </w:p>
        </w:tc>
        <w:tc>
          <w:tcPr>
            <w:tcW w:w="2260" w:type="dxa"/>
            <w:vAlign w:val="bottom"/>
          </w:tcPr>
          <w:p>
            <w:pPr>
              <w:ind w:left="160"/>
              <w:spacing w:after="0"/>
              <w:rPr>
                <w:sz w:val="20"/>
                <w:szCs w:val="20"/>
                <w:color w:val="auto"/>
              </w:rPr>
            </w:pPr>
            <w:r>
              <w:rPr>
                <w:rFonts w:ascii="Arial" w:cs="Arial" w:eastAsia="Arial" w:hAnsi="Arial"/>
                <w:sz w:val="18"/>
                <w:szCs w:val="18"/>
                <w:color w:val="auto"/>
              </w:rPr>
              <w:t>Electric pulses sent to the</w:t>
            </w:r>
          </w:p>
        </w:tc>
        <w:tc>
          <w:tcPr>
            <w:tcW w:w="2400" w:type="dxa"/>
            <w:vAlign w:val="bottom"/>
          </w:tcPr>
          <w:p>
            <w:pPr>
              <w:ind w:left="160"/>
              <w:spacing w:after="0"/>
              <w:rPr>
                <w:sz w:val="20"/>
                <w:szCs w:val="20"/>
                <w:color w:val="auto"/>
              </w:rPr>
            </w:pPr>
            <w:r>
              <w:rPr>
                <w:rFonts w:ascii="Arial" w:cs="Arial" w:eastAsia="Arial" w:hAnsi="Arial"/>
                <w:sz w:val="18"/>
                <w:szCs w:val="18"/>
                <w:color w:val="auto"/>
              </w:rPr>
              <w:t>starting low dose every 5</w:t>
            </w:r>
          </w:p>
        </w:tc>
        <w:tc>
          <w:tcPr>
            <w:tcW w:w="560" w:type="dxa"/>
            <w:vAlign w:val="bottom"/>
          </w:tcPr>
          <w:p>
            <w:pPr>
              <w:spacing w:after="0"/>
              <w:rPr>
                <w:sz w:val="18"/>
                <w:szCs w:val="18"/>
                <w:color w:val="auto"/>
              </w:rPr>
            </w:pPr>
          </w:p>
        </w:tc>
      </w:tr>
      <w:tr>
        <w:trPr>
          <w:trHeight w:val="230"/>
        </w:trPr>
        <w:tc>
          <w:tcPr>
            <w:tcW w:w="2100" w:type="dxa"/>
            <w:vAlign w:val="bottom"/>
          </w:tcPr>
          <w:p>
            <w:pPr>
              <w:ind w:left="180"/>
              <w:spacing w:after="0"/>
              <w:rPr>
                <w:sz w:val="20"/>
                <w:szCs w:val="20"/>
                <w:color w:val="auto"/>
              </w:rPr>
            </w:pPr>
            <w:r>
              <w:rPr>
                <w:rFonts w:ascii="Arial" w:cs="Arial" w:eastAsia="Arial" w:hAnsi="Arial"/>
                <w:sz w:val="18"/>
                <w:szCs w:val="18"/>
                <w:color w:val="auto"/>
              </w:rPr>
              <w:t>stimulation)</w:t>
            </w:r>
          </w:p>
        </w:tc>
        <w:tc>
          <w:tcPr>
            <w:tcW w:w="2260" w:type="dxa"/>
            <w:vAlign w:val="bottom"/>
          </w:tcPr>
          <w:p>
            <w:pPr>
              <w:ind w:left="160"/>
              <w:spacing w:after="0"/>
              <w:rPr>
                <w:sz w:val="20"/>
                <w:szCs w:val="20"/>
                <w:color w:val="auto"/>
              </w:rPr>
            </w:pPr>
            <w:r>
              <w:rPr>
                <w:rFonts w:ascii="Arial" w:cs="Arial" w:eastAsia="Arial" w:hAnsi="Arial"/>
                <w:sz w:val="18"/>
                <w:szCs w:val="18"/>
                <w:color w:val="auto"/>
              </w:rPr>
              <w:t>brain</w:t>
            </w:r>
          </w:p>
        </w:tc>
        <w:tc>
          <w:tcPr>
            <w:tcW w:w="2400" w:type="dxa"/>
            <w:vAlign w:val="bottom"/>
          </w:tcPr>
          <w:p>
            <w:pPr>
              <w:ind w:left="160"/>
              <w:spacing w:after="0"/>
              <w:rPr>
                <w:sz w:val="20"/>
                <w:szCs w:val="20"/>
                <w:color w:val="auto"/>
              </w:rPr>
            </w:pPr>
            <w:r>
              <w:rPr>
                <w:rFonts w:ascii="Arial" w:cs="Arial" w:eastAsia="Arial" w:hAnsi="Arial"/>
                <w:sz w:val="18"/>
                <w:szCs w:val="18"/>
                <w:color w:val="auto"/>
              </w:rPr>
              <w:t>minutes from day to night</w:t>
            </w:r>
          </w:p>
        </w:tc>
        <w:tc>
          <w:tcPr>
            <w:tcW w:w="560" w:type="dxa"/>
            <w:vAlign w:val="bottom"/>
          </w:tcPr>
          <w:p>
            <w:pPr>
              <w:spacing w:after="0"/>
              <w:rPr>
                <w:sz w:val="20"/>
                <w:szCs w:val="20"/>
                <w:color w:val="auto"/>
              </w:rPr>
            </w:pPr>
            <w:r>
              <w:rPr>
                <w:rFonts w:ascii="Arial" w:cs="Arial" w:eastAsia="Arial" w:hAnsi="Arial"/>
                <w:sz w:val="18"/>
                <w:szCs w:val="18"/>
                <w:color w:val="auto"/>
                <w:w w:val="92"/>
              </w:rPr>
              <w:t>Limited</w:t>
            </w:r>
          </w:p>
        </w:tc>
      </w:tr>
      <w:tr>
        <w:trPr>
          <w:trHeight w:val="634"/>
        </w:trPr>
        <w:tc>
          <w:tcPr>
            <w:tcW w:w="2100" w:type="dxa"/>
            <w:vAlign w:val="bottom"/>
          </w:tcPr>
          <w:p>
            <w:pPr>
              <w:spacing w:after="0"/>
              <w:rPr>
                <w:sz w:val="24"/>
                <w:szCs w:val="24"/>
                <w:color w:val="auto"/>
              </w:rPr>
            </w:pPr>
          </w:p>
        </w:tc>
        <w:tc>
          <w:tcPr>
            <w:tcW w:w="2260" w:type="dxa"/>
            <w:vAlign w:val="bottom"/>
          </w:tcPr>
          <w:p>
            <w:pPr>
              <w:ind w:left="160"/>
              <w:spacing w:after="0"/>
              <w:rPr>
                <w:sz w:val="20"/>
                <w:szCs w:val="20"/>
                <w:color w:val="auto"/>
              </w:rPr>
            </w:pPr>
            <w:r>
              <w:rPr>
                <w:rFonts w:ascii="Arial" w:cs="Arial" w:eastAsia="Arial" w:hAnsi="Arial"/>
                <w:sz w:val="18"/>
                <w:szCs w:val="18"/>
                <w:color w:val="auto"/>
              </w:rPr>
              <w:t>Electrical impulses to the</w:t>
            </w:r>
          </w:p>
        </w:tc>
        <w:tc>
          <w:tcPr>
            <w:tcW w:w="2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DBS (deep brain</w:t>
            </w:r>
          </w:p>
        </w:tc>
        <w:tc>
          <w:tcPr>
            <w:tcW w:w="2260" w:type="dxa"/>
            <w:vAlign w:val="bottom"/>
          </w:tcPr>
          <w:p>
            <w:pPr>
              <w:ind w:left="160"/>
              <w:spacing w:after="0"/>
              <w:rPr>
                <w:sz w:val="20"/>
                <w:szCs w:val="20"/>
                <w:color w:val="auto"/>
              </w:rPr>
            </w:pPr>
            <w:r>
              <w:rPr>
                <w:rFonts w:ascii="Arial" w:cs="Arial" w:eastAsia="Arial" w:hAnsi="Arial"/>
                <w:sz w:val="18"/>
                <w:szCs w:val="18"/>
                <w:color w:val="auto"/>
              </w:rPr>
              <w:t>brain through implanted</w:t>
            </w:r>
          </w:p>
        </w:tc>
        <w:tc>
          <w:tcPr>
            <w:tcW w:w="2400" w:type="dxa"/>
            <w:vAlign w:val="bottom"/>
          </w:tcPr>
          <w:p>
            <w:pPr>
              <w:ind w:left="160"/>
              <w:spacing w:after="0"/>
              <w:rPr>
                <w:sz w:val="20"/>
                <w:szCs w:val="20"/>
                <w:color w:val="auto"/>
              </w:rPr>
            </w:pPr>
            <w:r>
              <w:rPr>
                <w:rFonts w:ascii="Arial" w:cs="Arial" w:eastAsia="Arial" w:hAnsi="Arial"/>
                <w:sz w:val="18"/>
                <w:szCs w:val="18"/>
                <w:color w:val="auto"/>
                <w:w w:val="93"/>
              </w:rPr>
              <w:t>3-6 hour operations; follow-up</w:t>
            </w:r>
          </w:p>
        </w:tc>
        <w:tc>
          <w:tcPr>
            <w:tcW w:w="560" w:type="dxa"/>
            <w:vAlign w:val="bottom"/>
          </w:tcPr>
          <w:p>
            <w:pPr>
              <w:spacing w:after="0"/>
              <w:rPr>
                <w:sz w:val="18"/>
                <w:szCs w:val="18"/>
                <w:color w:val="auto"/>
              </w:rPr>
            </w:pPr>
          </w:p>
        </w:tc>
      </w:tr>
      <w:tr>
        <w:trPr>
          <w:trHeight w:val="230"/>
        </w:trPr>
        <w:tc>
          <w:tcPr>
            <w:tcW w:w="2100" w:type="dxa"/>
            <w:vAlign w:val="bottom"/>
          </w:tcPr>
          <w:p>
            <w:pPr>
              <w:ind w:left="180"/>
              <w:spacing w:after="0"/>
              <w:rPr>
                <w:sz w:val="20"/>
                <w:szCs w:val="20"/>
                <w:color w:val="auto"/>
              </w:rPr>
            </w:pPr>
            <w:r>
              <w:rPr>
                <w:rFonts w:ascii="Arial" w:cs="Arial" w:eastAsia="Arial" w:hAnsi="Arial"/>
                <w:sz w:val="18"/>
                <w:szCs w:val="18"/>
                <w:color w:val="auto"/>
              </w:rPr>
              <w:t>stimulation)</w:t>
            </w:r>
          </w:p>
        </w:tc>
        <w:tc>
          <w:tcPr>
            <w:tcW w:w="2260" w:type="dxa"/>
            <w:vAlign w:val="bottom"/>
          </w:tcPr>
          <w:p>
            <w:pPr>
              <w:ind w:left="160"/>
              <w:spacing w:after="0"/>
              <w:rPr>
                <w:sz w:val="20"/>
                <w:szCs w:val="20"/>
                <w:color w:val="auto"/>
              </w:rPr>
            </w:pPr>
            <w:r>
              <w:rPr>
                <w:rFonts w:ascii="Arial" w:cs="Arial" w:eastAsia="Arial" w:hAnsi="Arial"/>
                <w:sz w:val="18"/>
                <w:szCs w:val="18"/>
                <w:color w:val="auto"/>
              </w:rPr>
              <w:t>electrodes</w:t>
            </w:r>
          </w:p>
        </w:tc>
        <w:tc>
          <w:tcPr>
            <w:tcW w:w="2400" w:type="dxa"/>
            <w:vAlign w:val="bottom"/>
          </w:tcPr>
          <w:p>
            <w:pPr>
              <w:ind w:left="160"/>
              <w:spacing w:after="0"/>
              <w:rPr>
                <w:sz w:val="20"/>
                <w:szCs w:val="20"/>
                <w:color w:val="auto"/>
              </w:rPr>
            </w:pPr>
            <w:r>
              <w:rPr>
                <w:rFonts w:ascii="Arial" w:cs="Arial" w:eastAsia="Arial" w:hAnsi="Arial"/>
                <w:sz w:val="18"/>
                <w:szCs w:val="18"/>
                <w:color w:val="auto"/>
              </w:rPr>
              <w:t>visits</w:t>
            </w:r>
          </w:p>
        </w:tc>
        <w:tc>
          <w:tcPr>
            <w:tcW w:w="560" w:type="dxa"/>
            <w:vAlign w:val="bottom"/>
          </w:tcPr>
          <w:p>
            <w:pPr>
              <w:spacing w:after="0"/>
              <w:rPr>
                <w:sz w:val="20"/>
                <w:szCs w:val="20"/>
                <w:color w:val="auto"/>
              </w:rPr>
            </w:pPr>
            <w:r>
              <w:rPr>
                <w:rFonts w:ascii="Arial" w:cs="Arial" w:eastAsia="Arial" w:hAnsi="Arial"/>
                <w:sz w:val="18"/>
                <w:szCs w:val="18"/>
                <w:color w:val="auto"/>
                <w:w w:val="92"/>
              </w:rPr>
              <w:t>Limited</w:t>
            </w:r>
          </w:p>
        </w:tc>
      </w:tr>
    </w:tbl>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Generic: $150-250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Brand: $1,500-3,500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Generic: $300(3)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Brand: $5,000(3)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$33,000-49,000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$5,500-8,000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Averaging $1,000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$6,000-12,000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$5,000-15,000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$40,000-45,000</w:t>
      </w:r>
    </w:p>
    <w:p>
      <w:pPr>
        <w:spacing w:after="0" w:line="21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for surgical implementation (excluding costs of post-operative device adjustments) $64,000 for surgical implementation (excluding costs for DBS-related follow-up procedures and battery replacements)</w:t>
      </w:r>
    </w:p>
    <w:p>
      <w:pPr>
        <w:spacing w:after="0" w:line="165" w:lineRule="exact"/>
        <w:rPr>
          <w:sz w:val="20"/>
          <w:szCs w:val="20"/>
          <w:color w:val="auto"/>
        </w:rPr>
      </w:pPr>
    </w:p>
    <w:p>
      <w:pPr>
        <w:sectPr>
          <w:pgSz w:w="11900" w:h="16838" w:orient="portrait"/>
          <w:cols w:equalWidth="0" w:num="2">
            <w:col w:w="8280" w:space="720"/>
            <w:col w:w="2200"/>
          </w:cols>
          <w:pgMar w:left="320" w:top="121" w:right="379" w:bottom="1440" w:gutter="0" w:footer="0" w:header="0"/>
          <w:type w:val="continuous"/>
        </w:sect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SSRI = selective serotonin reuptake inhibitor, SNRI = serotonin-norepinephrine reuptake inhibitor</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Government reimbursement or private insurance coverage; 2 Assumes one treatment course over the year, direct treatment cost only (not total healthcare costs); 3 Quetiapine extended-release 150mg/day</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96" w:name="page97"/>
    <w:bookmarkEnd w:id="9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Pharmacotherapies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five main categories of antidepressants available. These are:</w:t>
      </w:r>
    </w:p>
    <w:p>
      <w:pPr>
        <w:spacing w:after="0" w:line="225"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selective serotonin reuptake inhibitors, or SSRIs;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serotonin-norepinephrine reuptake inhibitors, or SNRIs;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atypical antidepressants;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monoamine oxidase inhibitors, or MAOIs;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tricyclic antidepressants, or TCAs.</w:t>
      </w:r>
    </w:p>
    <w:p>
      <w:pPr>
        <w:spacing w:after="0" w:line="22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Antidepressants are frequently used in first- and second-line treatment of depression and can also be used after this point. As observed in the STAR*D study, only about 37% of patients achieve a remission with their initial antidepressant treatment. Failure rates of subsequent treatment regimens increase dramatically. For example, according to the STAR*D study, once patients have failed two lines of prior therapies, only about 14% of patients achieve a remission with their third antidepressant treatment, and less than 5% stay in remission for one year.</w:t>
      </w:r>
    </w:p>
    <w:p>
      <w:pPr>
        <w:spacing w:after="0" w:line="17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current main categories of antidepressants have significant additional limitations, including delayed onset of action, poor therapy adherence rates and various side effects. The onset of action for the most commonly used antidepressants is typically between two and three weeks, but the average time to remission in those who remit extends to about five to seven weeks, according to the STAR*D study. Adherence levels are low, with less than 50% of individuals in primary and psychiatric care not adhering to their prescribed antidepressant medication after three months.</w:t>
      </w:r>
    </w:p>
    <w:p>
      <w:pPr>
        <w:spacing w:after="0" w:line="171"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There is limited evidence to effectively guide clinical decisions following non-response or partial response to first-line antidepressant medications. Recommended treatment approaches include optimizing the current antidepressant dose or switching to another antidepressant. Partial response or lack of response thereafter is recommended to be addressed by combining antidepressants from different pharmacological classes or augmenting with an alternative medication, primarily with atypical antipsychotics but also mood stabilizers, anticonvulsants, thyroid hormones and stimulants.</w:t>
      </w:r>
    </w:p>
    <w:p>
      <w:pPr>
        <w:spacing w:after="0" w:line="15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Antipsychotics, such as olanzapine, quetiapine and aripiprazole, are typically used as adjunctive therapies when there is a lack of notable efficacy with an antidepressant. Despite there being an approved combination of olanzapine and fluoxetine for TRD that is administered once daily, research shows that combining antidepressants and antipsychotics can have serious side effects, such as weight gain, other metabolic complications, sedation, extrapyramidal side effects, which are drug-induced movement disorders, and QTc prolongation, which means the ventricles of the heart take longer than usual to recharge between beats.</w:t>
      </w:r>
    </w:p>
    <w:p>
      <w:pPr>
        <w:spacing w:after="0" w:line="188"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Ketamine is an N-methyl-D-aspartate, or NMDA, receptor antagonist that has been used for several decades for sedation, anesthesia and chronic pain and is being used as an off-label treatment for TRD. The S-enantiomer of ketamine, esketamine, is administered via a nasal spray and was approved by the FDA in 2019 for the treatment of TRD. Due to the fact that ketamine and esketamine treatments typically require frequent administration — for example, for esketamine, administration is initially twice weekly, followed by once weekly administration — in a controlled environment under medical supervision, administration is costly for payors and burdensome for patients, which has resulted in further stunted clinical adoption and patient access.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Psychotherapies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Psychotherapy is a form of talk therapy, which is often the preferred first-line treatment in patients with mild MDD. Psychotherapy is also used in combination with a primary pharmacotherapy, or as a substitute for primary pharmacotherapy, in patients with more severe MDD or in later-line treatments, including in patients with TRD. Two frequently used psychotherapies for depression are cognitive behavioral therapy, or CBT, and interpersonal therapy, or IPT. CBT focuses on changing negative thought and behavior patterns. IPT also assesses negative thoughts and behaviors, but only as they apply to interpersonal relationships and social functioning. Psychotherapeutic approaches can be effective for certain individuals but require a significant time commitment from patients and are subject to variability in their availability, delivery and effectiveness.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Somatic Therapies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Severe TRD patients who have undergone several courses of therapy are often treated with resource-intensive somatic therapies like electroconvulsive therapy, or ECT; repetitive transcranial magnetic stimulation, or rTMS; vagal nerve stimulation, or VNS; or deep brain stimulation, or DBS. These therapies are generally administered in inpatient settings. These treatments are typically reserved for patients who have not adequately responded to other treatments and are characterized as high-cost treatment options with limited reimbursement.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MDD is a serious mental health condition with substantial morbidity, diminished quality of life, reduced life expectancy and significant economic and societal burden. All of these issues are further accentuated in patients with TRD. Despite the availability of two pharmacotherapies approved specifically for the treatment of TRD in the United States, we believe currently available options do not adequately meet the needs of patients suffering from TRD and there is a significant need for a new therapeutic approach to bring more patients into rapid, durable remission.</w:t>
      </w:r>
    </w:p>
    <w:p>
      <w:pPr>
        <w:spacing w:after="0" w:line="171"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We believe that the development of a safe, effective and convenient therapy for TRD is one of the biggest unmet needs and challenges in healthcare and that our 5-MeO-DMT product candidates, GH001, GH002 and GH003, have the potential to address this unmet need.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Bipolar Disorder (BD)</w:t>
      </w:r>
    </w:p>
    <w:p>
      <w:pPr>
        <w:spacing w:after="0" w:line="225" w:lineRule="exact"/>
        <w:rPr>
          <w:sz w:val="20"/>
          <w:szCs w:val="20"/>
          <w:color w:val="auto"/>
        </w:rPr>
      </w:pPr>
    </w:p>
    <w:p>
      <w:pPr>
        <w:ind w:right="460" w:firstLine="324"/>
        <w:spacing w:after="0" w:line="311" w:lineRule="auto"/>
        <w:rPr>
          <w:sz w:val="20"/>
          <w:szCs w:val="20"/>
          <w:color w:val="auto"/>
        </w:rPr>
      </w:pPr>
      <w:r>
        <w:rPr>
          <w:rFonts w:ascii="Arial" w:cs="Arial" w:eastAsia="Arial" w:hAnsi="Arial"/>
          <w:sz w:val="16"/>
          <w:szCs w:val="16"/>
          <w:color w:val="auto"/>
        </w:rPr>
        <w:t>BD is a recurrent chronic affective disorder characterized by fluctuations in mood state and energy, affecting more than approximately 10 million people in the United State and Europe. The main characteristic separating BD from other affective disorders is the presence of recurring manic or hypomanic episodes that may alternate with depressive episodes. Although the symptoms come and go, BD usually requires lifetime treatment.</w:t>
      </w:r>
    </w:p>
    <w:p>
      <w:pPr>
        <w:spacing w:after="0" w:line="14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Bipolar I disorder, or BDI, is defined by the presence of overt manic episodes with a range of manifestations, including overconfidence, grandiosity, talkativeness, extreme disinhibition, irritability, decreased need for sleep, and highly elevated mood. Bipolar II disorder, or BDII, is characterized mainly by episodes of depression, but alternating with hypomania, a milder form of the overt mania in BDI. As defined by the 5th edition of the Diagnostic and Statistical Manual of Mental disorders (DSM-5), the lifetime presence of at least one manic episode is needed for the diagnosis of BDI and of at least one hypomanic episode and one major depressive episode is needed for the diagnosis of BDII.</w:t>
      </w:r>
    </w:p>
    <w:p>
      <w:pPr>
        <w:spacing w:after="0" w:line="176"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Whereas hypomania is a milder form of mania, BDII is not necessarily a milder form of BDI. Studies published in Archives of General Psychiatry on the natural course of BD found that BDII patients were symptomatic during 53.9% of follow-up weeks, with depressive symptoms present during 50.3% of follow-up weeks, while BDI patients were symptomatic during 47.3% of follow-up weeks with depressive symptoms present during 31.9% of follow-up weeks. It is evident that depressive symptoms dominate the symptomatic status in both types of BD, but most notably so in BDII. Evidence also suggests that a significant proportion of patients suffering from BD attempt suicide, with highest risk in phases with depressive symptoms and in patients with BDII.</w:t>
      </w:r>
    </w:p>
    <w:p>
      <w:pPr>
        <w:spacing w:after="0" w:line="16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Despite the disease burden of depressive symptoms in BDII, few studies have focused on the treatment of depression in BDII and only two drugs are approved by the FDA for this indication, lumateperone and quetiapine. However, these treatments can be associated with significant side effects, such as somnolence, dizziness and dry mouth, they often exhibit delayed onset of response, which can take several weeks, and they have overall moderate efficacy. While other treatments are being used off-label for depression in BDII, such as olanzapine combined with fluoxetine, lamotrigine or lithium, they suffer from similar limitations. Off-label use of SSRIs is also frequent, however there is again only limited efficacy and an additional risk of induction of treatment-emergent mania or hypomania has been described.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summary, depression is a major cause of suffering in BDII and there is a lack of safe, effective and rapid-acting agents for this condition. We believe that our 5-MeO-DMT product candidates GH001, GH002 and GH003 have the potential to address this unmet need.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Postpartum Depression (PPD)</w:t>
      </w:r>
    </w:p>
    <w:p>
      <w:pPr>
        <w:spacing w:after="0" w:line="225"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While more than 50% of women experience some form of low mood after childbirth, according to a 2003 article published in Archives of Women’s Mental Health, about 15% suffer from postpartum depression, or PPD, a debilitating disorder defined by the DSM-5 as a major depressive episode occurring during pregnancy or within 4 weeks following delivery.</w:t>
      </w:r>
    </w:p>
    <w:p>
      <w:pPr>
        <w:spacing w:after="0" w:line="184"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In addition to experiencing symptoms commonly associated with major depression, PPD may lead to a wide range of negative consequences for the affected mother, her infant(s) and her family. For example, women with PPD may develop thoughts of self-harm or harming their child and they are at increased risk of suicide.</w:t>
      </w:r>
    </w:p>
    <w:p>
      <w:pPr>
        <w:spacing w:after="0" w:line="184"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PPD may further lead to disruptions in the interactions between mother and child, exemplified by higher rates of disengaged behavior and lower rates of visual and vocal communication between mother and child, according to a 2010 article published in Infant Behavior and Development. Evidence also suggests an association between PPD and child development, as illustrated by the fact that children of patients suffering from PPD have a greater risk of impaired cognitive development, according to a 2003 article published in Archives of Women’s Mental Health.</w:t>
      </w:r>
    </w:p>
    <w:p>
      <w:pPr>
        <w:spacing w:after="0" w:line="157"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PPD is primarily treated via psychological therapies or pharmacotherapy, but for initiation of pharmacotherapies there is a higher threshold than in MDD, due to the changing risk-benefit ratio during pregnancy and breastfeeding, and breastfeeding mothers may be reluctant to commence pharmacological treatment due to a range of concerns.</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Further, as in MDD, the efficacy of SSRIs is limited by a slow onset of response and a low effect size, and significant side effects can occur. Moreover, the only pharmacological therapy which is FDA-approved specifically for PPD, brexanolone, requires a 60-hour infusion with in-patient admission and continuous monitoring by a healthcare provider.</w:t>
      </w:r>
    </w:p>
    <w:p>
      <w:pPr>
        <w:spacing w:after="0" w:line="184"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Hence, the burden of PPD is significant from multiple perspectives and there is a lack of safe, effective, rapid-acting and convenient agents for this condition. We believe that our 5-MeO-DMT product candidates GH001, GH002 and GH003 have the potential to address this unmet need.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 – GH001, GH002 and GH003</w:t>
      </w:r>
    </w:p>
    <w:p>
      <w:pPr>
        <w:spacing w:after="0" w:line="229"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We are developing three 5-MeO-DMT product candidates, GH001, GH002 and GH003. Our lead product candidate, GH001, is formulated for 5-MeO-DMT administration via a proprietary inhalation approach. We have investigated administration of GH001 as a single-dose induction regimen and in an individualized dosing regimen where up to three escalating doses of GH001 are given on the same day. With GH001, we have completed two Phase 1 healthy volunteer clinical trials (GH001-HV-101 and GH001-HV-103), in which administration of GH001 via inhalation was observed to be well tolerated at the investigated single dose levels and in the individualized dosing regimen. We have also completed an open-label, single-arm Phase 1/2 clinical trial in patients with TRD. In the Phase 1 part of this trial, no SAEs were observed and all adverse drug reactions, or ADRs, were mild and resolved spontaneously. Based on clinical activity that we observed, we also believe that administration of a single dose of GH001 has the potential to induce ultra-rapid MADRS remissions in certain patients. Based on the observed clinical activity in the Phase 2 part of the trial we believe that an individualized dosing regimen with intra-subject dose escalation within a single day can further increase the MADRS remission rate as compared to a single dose of GH001. As a next trial in TRD, we plan to submit clinical trial applications in several European countries for a multi-center, randomized, controlled Phase 2b trial (GH001-TRD-</w:t>
      </w:r>
    </w:p>
    <w:p>
      <w:pPr>
        <w:spacing w:after="0" w:line="5" w:lineRule="exact"/>
        <w:rPr>
          <w:sz w:val="20"/>
          <w:szCs w:val="20"/>
          <w:color w:val="auto"/>
        </w:rPr>
      </w:pPr>
    </w:p>
    <w:p>
      <w:pPr>
        <w:jc w:val="both"/>
        <w:ind w:right="60" w:firstLine="8"/>
        <w:spacing w:after="0" w:line="255" w:lineRule="auto"/>
        <w:tabs>
          <w:tab w:leader="none" w:pos="3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third quarter of 2022. We have recently submitted a request for a pre-IND meeting with the FDA to discuss our planned filing of a U.S. IND for GH001 in TRD. The meeting has been granted by the FDA for the second quarter of 2022. The proposed IND-opening study is a Phase 1 imaging study in patients with TRD designed to further elucidate the mechanism of action of GH001 (GH001-TRD-104).</w:t>
      </w:r>
    </w:p>
    <w:p>
      <w:pPr>
        <w:spacing w:after="0" w:line="19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have recently submitted clinical trial applications in a European country for a Phase 2a proof-of-concept clinical trial of GH001 for the treatment of patients with bipolar II disorder and a current depressive episode (GH001-BD-202) and for a Phase 2a proof-of-concept clinical trial of GH001 for the treatment of patients with postpartum depression (GH001-PPD-203). We expect to submit further clinical trial applications for these trials in additional European countries. Pending regulatory clearance, we expect to initiate these trials in the third quarter of 2022.</w:t>
      </w:r>
    </w:p>
    <w:p>
      <w:pPr>
        <w:spacing w:after="0" w:line="171"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Our second product candidate, GH002, formulated for 5-MeO-DMT administration via a proprietary injectable formulation, and our third product candidate, GH003, formulated for 5-MeO-DMT administration via a proprietary intranasal formulation, are currently in preclinical development.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5-MeO-DMT Usage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Broader Emergence of Psychoactive Drugs</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5-MeO-DMT is a serotonergic psychedelic, a class of psychoactive drugs that act primarily through an agonist action on serotonin receptors and cause an altered state of consciousness. Serotonergic psychedelics also include other tryptamines such as psilocybin and N,N-Dimethyltryptamine, or DMT; ergolines such as lysergic acid diethylamide, or LSD; and phenethylamines such as mescaline.</w:t>
      </w:r>
    </w:p>
    <w:p>
      <w:pPr>
        <w:spacing w:after="0" w:line="184" w:lineRule="exact"/>
        <w:rPr>
          <w:sz w:val="20"/>
          <w:szCs w:val="20"/>
          <w:color w:val="auto"/>
        </w:rPr>
      </w:pPr>
    </w:p>
    <w:p>
      <w:pPr>
        <w:jc w:val="both"/>
        <w:ind w:right="200" w:firstLine="324"/>
        <w:spacing w:after="0" w:line="275" w:lineRule="auto"/>
        <w:rPr>
          <w:sz w:val="20"/>
          <w:szCs w:val="20"/>
          <w:color w:val="auto"/>
        </w:rPr>
      </w:pPr>
      <w:r>
        <w:rPr>
          <w:rFonts w:ascii="Arial" w:cs="Arial" w:eastAsia="Arial" w:hAnsi="Arial"/>
          <w:sz w:val="17"/>
          <w:szCs w:val="17"/>
          <w:color w:val="auto"/>
        </w:rPr>
        <w:t>In the 1960s, clinical research in psychedelics was widespread, prior to the overall group of psychedelics being classified as Schedule I drugs in the early 1970s. Combining findings from these earlier studies with more recent data, accumulating evidence suggests that certain serotonergic psychedelics may have beneficial effects on a variety of psychiatric and neurological disorders. More recent insight in the psychopharmacology of certain serotonergic psychedelics, as well as initial evidence of their therapeutic benefit, has driven a resurgence of interest in the evaluation of serotonergic psychedelics for therapeutic use to treat a range of psychiatric and neurological disorders.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The promise of therapeutic approaches using psychoactive agents for the treatment of psychiatric and neurological disorders is highlighted by recent regulatory developments and increased research efforts. For instance, the FDA has granted Breakthrough Therapy Designation twice to psilocybin for the treatment of TRD and also to 3,4-methylenedioxy-methamphetamine, or MDMA,-assisted psychotherapy for the treatment of post-traumatic stress disorder. Further, major research institutions in the United States and Europe have recently established large centers dedicated to therapeutic research on psychoactive agents, including the Johns Hopkins Center for Psychedelic &amp; Consciousness Research, the Mount Sinai Center for Psychedelic Psychotherapy and Trauma Research and the Imperial College London Centre for Psychedelic Research.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5-MeO-DMT Overview</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molecule 5-MeO-DMT is a naturally occurring structural analogue of serotonin (5-hydroxytryptamine, or 5-HT), as depicted below, belonging to the class of psychoactive tryptamines.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117475</wp:posOffset>
            </wp:positionV>
            <wp:extent cx="3497580" cy="19634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97580"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5-MeO-DMT was first identified in the bark of Dictyoloma incanescens, but it is also contained in other plants, and it has been identified as a psychoactive ingredient in the venom of Bufo alvarius toads. These natural materials, as well as non-pharmaceutical grade 5-MeO-DMT, have a history of naturalistic use, where their potential to induce altered states of consciousness has been applied in spiritual or self-exploratory contexts.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Mechanism of Action of Our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Molecular Effects of 5-MeO-DMT</w:t>
      </w:r>
    </w:p>
    <w:p>
      <w:pPr>
        <w:spacing w:after="0" w:line="225" w:lineRule="exact"/>
        <w:rPr>
          <w:sz w:val="20"/>
          <w:szCs w:val="20"/>
          <w:color w:val="auto"/>
        </w:rPr>
      </w:pPr>
    </w:p>
    <w:p>
      <w:pPr>
        <w:jc w:val="both"/>
        <w:ind w:right="120" w:firstLine="324"/>
        <w:spacing w:after="0" w:line="301" w:lineRule="auto"/>
        <w:rPr>
          <w:sz w:val="20"/>
          <w:szCs w:val="20"/>
          <w:color w:val="auto"/>
        </w:rPr>
      </w:pPr>
      <w:r>
        <w:rPr>
          <w:rFonts w:ascii="Arial" w:cs="Arial" w:eastAsia="Arial" w:hAnsi="Arial"/>
          <w:sz w:val="16"/>
          <w:szCs w:val="16"/>
          <w:color w:val="auto"/>
        </w:rPr>
        <w:t>In vivo and in vitro research from academic studies suggest that 5-MeO-DMT acts primarily as a serotonin agonist, active at both the 5-HT1A and 5-HT2A receptors, which are expressed in neurons in different areas of the central nervous system. 5-MeO-DMT appears to have a higher affinity for the 5-HT1A receptor subtype and a more selective pattern of distribution across various neurotransmitter receptor types compared to other tryptamines, such as psilocin and DMT, both of which have stronger affinity for the 5-HT2A receptor subtype and a less selective receptor binding profile.</w:t>
      </w:r>
    </w:p>
    <w:p>
      <w:pPr>
        <w:spacing w:after="0" w:line="157" w:lineRule="exact"/>
        <w:rPr>
          <w:sz w:val="20"/>
          <w:szCs w:val="20"/>
          <w:color w:val="auto"/>
        </w:rPr>
      </w:pPr>
    </w:p>
    <w:p>
      <w:pPr>
        <w:ind w:right="360" w:firstLine="324"/>
        <w:spacing w:after="0" w:line="275" w:lineRule="auto"/>
        <w:rPr>
          <w:sz w:val="20"/>
          <w:szCs w:val="20"/>
          <w:color w:val="auto"/>
        </w:rPr>
      </w:pPr>
      <w:r>
        <w:rPr>
          <w:rFonts w:ascii="Arial" w:cs="Arial" w:eastAsia="Arial" w:hAnsi="Arial"/>
          <w:sz w:val="17"/>
          <w:szCs w:val="17"/>
          <w:color w:val="auto"/>
        </w:rPr>
        <w:t>Further academic research suggests that 5-MeO-DMT may also act as a regulator of inflammation and immune homeostasis through the sigma-1 receptor and that it may affect structural neuroplasticity, meaning that it may induce proliferation, survivability and accelerate maturation of specific neurons in the brain. Such mechanisms have the potential to address some of the hypothesized root causes of depression, including reduced neural connectivity and a proinflammatory state. However, it is not known whether these mechanisms have any clinical relevance in the context of single day administration of 5-MeO-DMT as tested in the current development program.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Relevance of the Intensity of the Psychoactive Effects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believe that the intensity of the acute psychoactive effects after administration of 5-MeO-DMT may correlate with short- and long-term clinical improvement across various psychiatric and neurological disorders. Such a correlation has been shown for other serotonergic psychedelics in various academic studies. We have defined an intense psychoactive effect as a PE. We assess the occurrence of PEs using a proprietary visual analogue scale, or PE scale, which averages answers scored by the patient from 0 to 100 for three parameters of the experience: intensity, feelings of loss of control and profoundness. A PE is determined to have been achieved if the patient’s average score across these three parameters is at least 75 on this scale. We use the occurrence or non-occurrence of a PE for dose selection of our product candidates in our individualized dosing regimen.</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1" w:name="page102"/>
    <w:bookmarkEnd w:id="10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Resetting Functional Connectivity</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believe that the mechanism of action of our product candidates, as well as the correlation between the intensity of the psychoactive effects and therapeutic outcomes, can be explained by recent observations regarding human brain functional connectivity, or FC, via so-called resting-state networks, or RSNs. These RSNs have been shown in academic studies to be responsible for various aspects of complex cognitive function, and it has been found that patients with mental disorders can have disturbed RSN connectivity. It has further been found that the administration of serotonergic psychedelics can lead to decreased connectivity within those RSNs. In addition, depending on the intensity of the short-term psychoactive effects, an increased reorganization of RSN activity can be observed following the experience, and we believe this reorganization could also correlate with treatment response.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administration of our product candidates has the potential to result in:</w:t>
      </w:r>
    </w:p>
    <w:p>
      <w:pPr>
        <w:spacing w:after="0" w:line="225"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acute decreased FC within the relevant RSNs;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subsequent reintegration and resumption of normal FC, or a “re-set”, of the relevant RSNs;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resolution of depressive thought patterns and improvement in other symptoms of mental disorders.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that the occurrence of PEs as assessed by our proprietary PE scale is predictive of the “re-set” and may be indicative of therapeutic activity.</w:t>
      </w:r>
    </w:p>
    <w:p>
      <w:pPr>
        <w:spacing w:after="0" w:line="24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lead product candidate, GH001, is designed to produce an ultra-rapid onset of psychoactive effects (commonly within seconds) and an intense and short-lived (commonly five to 30 minutes) initial psychoactive experience. Although the initial psychoactive effects are short-lived, we believe the ensuing “re-set” of FC has the potential to create durable therapeutic benefits. Our approach of quantifying PEs allows for a simple assessment of psychoactive effects, and our PE-guided individualized dosing regimen aims to optimize the therapeutic outcome. GH002, GH003 and potential additional product candidates are expected to follow a similar treatment paradigm.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5-MeO-DMT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Inhalable 5-MeO-DMT Product Candidate – GH001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lead 5-MeO-DMT product candidate, GH001, is formulated for administration via a proprietary inhalation approach. For GH001, we use synthetically developed, pharmaceutical grade 5-MeO-DMT, manufactured in accordance with current Good Manufacturing Practices, or cGMP, standards. We are currently investigating administration of GH001 as a single-dose induction regimen and in an individualized dosing regimen, where up to three escalating doses of GH001 are administered via inhalation on a single day. We have completed two Phase 1 healthy volunteer clinical trials for GH001 (GH001-HV-101 and GH001-HV-103), in which administration of GH001 via inhalation was observed to be well tolerated at the investigated single dose levels and in the individualized dosing regimen. We have also completed an open-label, single-arm Phase 1/2 trial in patients with TRD (GH001-TRD-102). In the completed Phase 1 part, no SAEs were observed and all ADRs were mild and resolved spontaneously. Based on clinical activity that we observed, we also believe that administration of a single dose of GH001 has the potential to induce ultra-rapid MADRS remissions in certain patients. Based on the observed clinical activity in the Phase 2 part of the trial, we believe that our individualized dosing regimen with intra-subject dose escalation within a single day can further increase the MADRS remission rate as compared to a single dose of GH001. As a next trial of GH001 in TRD, we plan to submit clinical trial applications in several European countries for a multi-center, randomized, controlled Phase 2b trial (GH001-TRD-201) in the third quarter of 2022. We also plan to initiate a Phase 1 imaging study in patients with TRD designed to further elucidate the mechanism of action of GH001. Clinical proof-of-concept trials with GH001 in bipolar II disorder and a current depressive episode (GH001-BD-202) and postpartum depression (GH001-PPD-203) are also being planned.</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2" w:name="page103"/>
    <w:bookmarkEnd w:id="10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Advantages of GH001</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TRD is our lead indication for the development of GH001. We believe that GH001, if approved, may provide significant benefits for the treatment of patients with TRD. We aim to achieve the following goals:</w:t>
      </w:r>
    </w:p>
    <w:p>
      <w:pPr>
        <w:spacing w:after="0" w:line="170"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Ultra-Rapid Induction of Remissions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Maximized Rate of Remissions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Convenience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the following features of GH001 will allow us to achieve those goals:</w:t>
      </w:r>
    </w:p>
    <w:p>
      <w:pPr>
        <w:spacing w:after="0" w:line="225" w:lineRule="exact"/>
        <w:rPr>
          <w:sz w:val="20"/>
          <w:szCs w:val="20"/>
          <w:color w:val="auto"/>
        </w:rPr>
      </w:pPr>
    </w:p>
    <w:p>
      <w:pPr>
        <w:jc w:val="both"/>
        <w:ind w:left="660" w:right="160" w:hanging="328"/>
        <w:spacing w:after="0" w:line="263"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High Propensity to Induce Peak Experiences</w:t>
      </w:r>
      <w:r>
        <w:rPr>
          <w:rFonts w:ascii="Arial" w:cs="Arial" w:eastAsia="Arial" w:hAnsi="Arial"/>
          <w:sz w:val="18"/>
          <w:szCs w:val="18"/>
          <w:color w:val="auto"/>
        </w:rPr>
        <w:t>: We believe that GH001 has a high propensity to induce PEs. This is important because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occurrence of PEs may be correlated with ultra-rapid induction of durable remissions in patients with TRD, and thereby we believe may potentially act as a marker for therapeutic effects.</w:t>
      </w:r>
    </w:p>
    <w:p>
      <w:pPr>
        <w:spacing w:after="0" w:line="183"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Individualized Dosing Regimen</w:t>
      </w:r>
      <w:r>
        <w:rPr>
          <w:rFonts w:ascii="Arial" w:cs="Arial" w:eastAsia="Arial" w:hAnsi="Arial"/>
          <w:sz w:val="16"/>
          <w:szCs w:val="16"/>
          <w:color w:val="auto"/>
        </w:rPr>
        <w:t>: We believe that there is no clinically relevant tolerance development to 5-MeO-DMT when the drug is re-administered within hours, or in other words, no diminished psychoactive effects. Together with the ultra-rapid onset and short duration of psychoactive effects, this aspect allows re-administration of GH001 in an individualized dosing regimen where GH001 can be administered several times within one day. We are currently investigating whether this individualized dosing regimen can increase the rate of occurrence of PEs in patients with TRD compared with administration of a single dose and whether this results in an increased rate of ultra-rapid remissions, while at the same time avoiding unnecessarily high doses. We believe that treatment optimization within the same day is important, not only because of the direct patient benefit, but also because patients with insufficient response can be identified early, without the need for lengthy trial-and-error approaches, during which time the patient is often exposed to potential side effects of ineffective treatments.</w:t>
      </w:r>
    </w:p>
    <w:p>
      <w:pPr>
        <w:spacing w:after="0" w:line="165" w:lineRule="exact"/>
        <w:rPr>
          <w:rFonts w:ascii="Arial" w:cs="Arial" w:eastAsia="Arial" w:hAnsi="Arial"/>
          <w:sz w:val="16"/>
          <w:szCs w:val="16"/>
          <w:color w:val="auto"/>
        </w:rPr>
      </w:pPr>
    </w:p>
    <w:p>
      <w:pPr>
        <w:ind w:left="660" w:right="80" w:hanging="328"/>
        <w:spacing w:after="0" w:line="293"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Treatment Regimen</w:t>
      </w:r>
      <w:r>
        <w:rPr>
          <w:rFonts w:ascii="Arial" w:cs="Arial" w:eastAsia="Arial" w:hAnsi="Arial"/>
          <w:sz w:val="16"/>
          <w:szCs w:val="16"/>
          <w:color w:val="auto"/>
        </w:rPr>
        <w:t>: We believe that the ultra-rapid onset and short duration of psychoactive effects may confer a significant convenience and</w:t>
      </w:r>
      <w:r>
        <w:rPr>
          <w:rFonts w:ascii="Arial" w:cs="Arial" w:eastAsia="Arial" w:hAnsi="Arial"/>
          <w:sz w:val="16"/>
          <w:szCs w:val="16"/>
          <w:i w:val="1"/>
          <w:iCs w:val="1"/>
          <w:color w:val="auto"/>
        </w:rPr>
        <w:t xml:space="preserve"> </w:t>
      </w:r>
      <w:r>
        <w:rPr>
          <w:rFonts w:ascii="Arial" w:cs="Arial" w:eastAsia="Arial" w:hAnsi="Arial"/>
          <w:sz w:val="16"/>
          <w:szCs w:val="16"/>
          <w:color w:val="auto"/>
        </w:rPr>
        <w:t>feasibility advantage compared to other serotonergic psychoactive agents studied for the treatment of mental disorders, where the initial psychoactive effects have a slower onset and can last for several hours. We further believe that those features and the type of psychoactive effects induced by GH001 allow for dosing without the need for lengthy and complex patient preparation prior to treatment, with only limited required support from a healthcare provider during the experience and without the need for frequent psychological integration work after the experience. This reduces training requirements for healthcare providers and creates a convenient and efficient potential therapeutic paradigm overall.</w:t>
      </w:r>
    </w:p>
    <w:p>
      <w:pPr>
        <w:spacing w:after="0" w:line="1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Based on these features, we believe that GH001 has the potential to provide an attractive alternative to currently available therapies and other therapies in development for the treatment of TRD.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Experience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1: Healthy Volunteer Trial (GH001-HV-101, NCT04640831)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completed a Phase 1 clinical trial of GH001, our inhalable 5-MeO-DMT product candidate, in healthy volunteers.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Trial Design</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trial was designed in two parts, as depicted below: Part A was an open-label, single-arm, single-dose trial with four dose levels (2 mg, 6 mg, 12 mg, 18 mg) of GH001 being investigated and Part B was an open-label, single-arm, intra-subject dose escalation trial, where an individualized dosing regimen was administered on a single day with up to three increasing doses of GH001 (6 mg as the first dose, 12 mg as the second dose and 18 mg as the third dose). The second and third doses were only administered in the event that the subject did not achieve a PE at the lower dose, as assessed by our proprietary PE scale.</w:t>
      </w:r>
    </w:p>
    <w:p>
      <w:pPr>
        <w:spacing w:after="0" w:line="18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The primary endpoint of this trial was to assess the safety of GH001 and its dose-related psychoactive effects in healthy volunteers. Participants were monitored on the dosing day, with additional follow-up visits on day one and on day seven after dosing. A study safety group, or SSG, which included external experts, was established to evaluate the safety and psychoactive effect data from all participants at each visit.</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3" w:name="page104"/>
    <w:bookmarkEnd w:id="10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114935</wp:posOffset>
            </wp:positionV>
            <wp:extent cx="4937760" cy="27774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3776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Baseline Characteristics</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18 participants (2 mg (n=4), 6 mg (n=6), 12 mg (n=4), 18 mg (n=4)) were recruited into Part A, and four participants were recruited in Part B. The median age in Part A was 27 years and in Part B was 30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w:t>
      </w:r>
    </w:p>
    <w:p>
      <w:pPr>
        <w:spacing w:after="0" w:line="22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All participants completed all planned visits. No SAEs were reported. 12 of 18 subjects (66.67%) in Part A and 3 of 4 subjects (75%) in Part B experienced at least one ADR. All ADRs were mild, except an ADR of “heart rate increased” at the 12 mg dose level in Part A and an ADR of “fatigue” in one subject in Part B (after having received the 6 mg and 12 mg dose), which were moderate in intensity. All ADRs resolved spontaneously. In Part A, the ADRs reported were: nausea (4 participants), headache (3 participants), anxiety (2 participants), clumsiness, feeling hot, vision blurred, heart rate increased, hyperacusis, mental fatigue, flashback, hallucination, abnormal dreams, insomnia, fatigue, euphoric mood and confusional state (each in 1 participant). In Part B, the ADRs reported were: nausea (2 participants), fatigue, head discomfort and headache (each in 1 participant). No clinically significant signals were observed in the safety laboratory analyses, and no clinically relevant changes were observed in the psychiatric safety assessments or any of the measures of cognitive function. With the exception of a temporary, non-clinically relevant increase in heart rate and blood pressure shortly after administration of GH001, no noteworthy changes in vital parameters occurred. The SSG observed no unexpected, no severe and no lasting adverse effects for all single doses from 2 mg to 18 mg in Part A and the dose escalation from 6 mg to 12 mg, and then up to 18 mg in Part B.</w:t>
      </w:r>
    </w:p>
    <w:p>
      <w:pPr>
        <w:spacing w:after="0" w:line="16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With regard to the intensity of the psychoactive effects as measured by the PE scale in Part A, a dose-related trend for the mean PE total score and for the fraction of patients who achieved a PE was observed for the 2 mg dose (PE total score 9.0, zero of four participants with a PE), 6 mg dose (PE total score 43.8, one of six participants with a PE) and 12 mg dose (PE total score 65.5, two of four participants with a PE). This dose-related trend did not continue for the 18 mg dose (PE total score 59.2, one of four participants with a PE).</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Part B, it was observed that the intensity of the psychoactive effects increased with the increasing dosage amounts in all participants. Further, all participants were able to achieve a PE at their maximum individual dose level, which was the initial dose of 6 mg for one participant, the second dose of 12 mg for two participants and the final dose of 18 mg for one participant. At this maximum individual dose level, the mean PE total score was higher (PE total score 89.3) than in all dose groups of Part A.</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4" w:name="page105"/>
    <w:bookmarkEnd w:id="10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1/2: Clinical Trial of GH001 in Patients with TRD (GH001-TRD-102, NCT04698603)</w:t>
      </w:r>
    </w:p>
    <w:p>
      <w:pPr>
        <w:spacing w:after="0" w:line="225"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We have completed a Phase 1/2 clinical trial of GH001 in patients with TRD, who in their current depressive episode have failed at least two adequate courses of pharmacological therapy or one adequate course of pharmacological therapy and at least one adequate course of evidence-based psychotherapy, as assessed by the Antidepressant Treatment History Form – Short Form, or ATHF-SF.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Trial Design</w:t>
      </w:r>
    </w:p>
    <w:p>
      <w:pPr>
        <w:spacing w:after="0" w:line="22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The trial was designed in two parts, as depicted below: a Part A (n=8), which was an open-label, single-arm, single-dose Phase 1 trial with two dose levels (12 mg, 18 mg) of GH001 being investigated and a Part B (n=8), which was an open-label, single-arm Phase 2 trial applying our individualized dosing regimen with intra-patient dose escalation with GH001. In Part B, patients received at least one and up to three doses of GH001 in a single day; the three dose steps applied were 6 mg, 12 mg and 18 mg. The administration of a higher dose level was guided by an evaluation of whether the patient achieved a PE at the previously administered dose. Patients of 18 to 64 years of age (inclusive) were enrolled in the trial.</w:t>
      </w:r>
    </w:p>
    <w:p>
      <w:pPr>
        <w:spacing w:after="0" w:line="16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primary endpoint of the Phase 1 Part A was to assess the safety and tolerability of single dosing of GH001 in patients with TRD. The primary endpoint of the Phase 2 Part B was to assess the effects on the severity of depression, as assessed by the proportion of patients in remission on day seven after dosing, defined as a MADRS total score of less than or equal to 10. The MADRS is a widely accepted scale for depression that ranges from zero to 60 that has been used as a primary endpoint in pivotal trials of other depression treatments. Participants were monitored on the dosing day, with additional follow-up visits on day one and day seven after dosing. An SSG, which included external experts, was established to evaluate the safety and efficacy data from all patients after completion of each dose level of Part A and after the completion of Part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Baseline Characteristics for Patients in Phase 1 Part 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Eight patients were recruited into the Phase 1 Part A. The median age was 29 years. The median baseline severity of depression by MADRS was 33.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Four patients received 12 mg and four patients received 18 mg of GH001.</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5" w:name="page106"/>
    <w:bookmarkEnd w:id="10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for Phase 1 Part A: Safety</w:t>
      </w:r>
    </w:p>
    <w:p>
      <w:pPr>
        <w:spacing w:after="0" w:line="22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All patients completed all planned visits. No SAEs were reported. 3 of 4 patients (75%) in the 12 mg group and 3 of 4 patients (75%) in the 18 mg group experienced at least one ADR. All ADRs were mild and resolved spontaneously. The ADRs reported were: headache (3 patients), feeling abnormal, flashback (each in 2 patients), dizziness and muscle spasms (each in 1 patient). Based on the available data from Part A, the SSG concluded that in Part A no unexpected or severe adverse effects and no clinically significant changes were observed in any of the safety laboratory analyses, psychiatric safety assessments or measures of cognitive function. With the exception of a temporary, non-clinically relevant increase in heart rate and blood pressure shortly after administration of GH001, no noteworthy changes in vital parameters occurred. Further, the SSG concluded that, based on a review of the Columbia-Suicide Severity Rating Scale, or C-SSRS, and the MADRS subscore item “suicidal thoughts”, no safety signal relating to suicidal ideation or suicidal behavior was observed.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for Phase 1 Part A: Efficacy</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As a secondary objective in Part A, we also evaluated clinical activity, including MADRS remission, defined as a MADRS total score of less than or equal to 10, and MADRS clinical response, defined as a reduction of 50% or more from baseline in the MADRS total score. Two of four patients (50%) in the 12 mg group and one of four patients (25%) in the 18 mg group of Part A had a MADRS remission on day seven after dosing, as well as a MADRS clinical response, and one further patient (25%) in the 18 mg group had a MADRS clinical response on day seven after dosing. The other four patients also exhibited improvement on the basis of the MADRS scale on day seven compared to baseline, but did not achieve a MADRS remission or MADRS clinical response. Of the three patients in remission on day seven, all were in remission beginning on day one, with two in remission as early as two hours after dosing. The mean MADRS change from baseline at day seven was -21.0 (-65%) in the 12 mg group and 1-2.8 (-41%) in the 18 mg group. The mean PE total score was 58.2 in the 12 mg group and 59.1 in the 18 mg group. Two of four patients achieved a PE in the 12 mg group, both of which achieved a MADRS remission.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Part B</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Phase 2 Part B of this clinical trial included the potential for up to three doses of GH001 on the same administration day, in the event a PE was not met with the initial or second dose. The goal of this individualized dosing regimen was to increase the rate of occurrence of PEs and the clinical remission rate compared to a single dose of GH001 in patients with TRD. The three dose steps applied were 6 mg, 12 mg and 18 mg. The administration of a higher dose level was guided by an evaluation of whether the patient achieved a PE at the previously administered dose.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Baseline Characteristics for Patients in Phase 2 Part B</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Eight patients were recruited into Part B. The median age was 34 years. The median baseline severity of depression by MADRS was 32. Based on the PE-guided individualized dosing regimen, six patients received 6 mg followed by 12 mg of GH001, and two patients received 6 mg, followed by 12 mg, and then 18 mg of GH001.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for Phase 2 Part B: Safety</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All patients completed all planned visits. No SAEs were reported. Seven of eight patients (87.5%) experienced at least one ADR. All ADRs were mild, except two ADRs of nausea and one ADR of depressive symptom, which were moderate in intensity. All ADRs resolved spontaneously. The ADRs reported were: headache, sensory disturbance (each in 3 patients), anxiety, flashback, nausea (each in 2 patients), abdominal discomfort, muscle discomfort, paresthesia and depressive symptom (each in 1 patient).</w:t>
      </w:r>
    </w:p>
    <w:p>
      <w:pPr>
        <w:spacing w:after="0" w:line="187"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Based on the available data from Part B, the SSG concluded that in Part B, no unexpected or severe adverse effects and no clinically significant changes were observed in any of the safety laboratory analyses, psychiatric safety assessments or measures of cognitive function. With the exception of a temporary, non-clinically relevant increase in heart rate and blood pressure shortly after administration of GH001, no noteworthy changes in vital parameters occurred. Further, the SSG concluded that, based on a review of the C-SSRS and the MADRS subscore item “suicidal thoughts”, no safety signal relating to suicidal ideation or suicidal behavior was observed.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for Phase 2 Part B: Efficacy</w:t>
      </w:r>
    </w:p>
    <w:p>
      <w:pPr>
        <w:spacing w:after="0" w:line="225"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The primary endpoint of the Phase 2 Part B was defined as the proportion of patients in remission on day seven after dosing, defined as a MADRS total score of less than or equal to 10. This primary endpoint was met with seven of eight patients (87.5%) achieving a MADRS remission on day seven (p&lt;0.0001). Of those seven patients, all were in remission beginning on day one, with five in remission as early as two hours after dosing. All seven patients with a remission on day seven also achieved a MADRS clinical response, defined as a reduction of 50% or more from baseline in the MADRS total score, whereas the remaining patient also exhibited improvement on the basis of the MADRS scale on day seven compared to baseline, but did not achieve a MADRS remission or MADRS clinical response. The mean MADRS change from baseline at day seven, a secondary endpoint, was -24.4 (-76%), as shown in the graph below.</w:t>
      </w:r>
    </w:p>
    <w:p>
      <w:pPr>
        <w:sectPr>
          <w:pgSz w:w="11900" w:h="16838" w:orient="portrait"/>
          <w:cols w:equalWidth="0" w:num="1">
            <w:col w:w="11220"/>
          </w:cols>
          <w:pgMar w:left="320" w:top="121" w:right="359" w:bottom="1440" w:gutter="0" w:footer="0" w:header="0"/>
        </w:sect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6" w:name="page107"/>
    <w:bookmarkEnd w:id="10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the Phase 2 Part B, it was observed that the intensity of the psychoactive effects increased with the increasing dosage amounts in all patients. Further, seven of eight patients were able to achieve a PE at their maximum individual dose level, which was the second dose of 12 mg for six patients and the final dose of 18 mg for two patients. At this maximum individual dose level, the mean PE total score was higher (PE total score 90.4) than in the single dose groups of the Phase 1 Part A. Six of seven patients with a PE achieved a MADRS remission, with one additional MADRS remission achieved in a patient who received all three dose levels but did not achieve a PE.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Conclusions</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Based on the observed clinical activity in the GH001-TRD-102 trial, we believe that administration of GH001 has the potential to induce ultra-rapid MADRS remissions in certain patients with TRD. The administration of our individualized dosing regimen with intra-subject dose escalation within a single day increased the clinical remission rate, the mean MADRS reduction, and the rate of occurrence of PEs compared to a single dose of GH001 in patients with TRD.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1: Clinical Pharmacology Trial in Healthy Volunteers (GH001-HV-103)</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completed a Phase 1 clinical pharmacology trial of GH001 in healthy volunteers.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Trial Design</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trial was designed in two parts: a single-dose part, in a double-blind, placebo-controlled, randomized, parallel-group design with single, inhaled doses of GH001 or placebo in 3 dose groups (6 mg, 12 mg 18 mg) of 10 subjects, whereby 8 subjects per dose group received GH001 and 2 subjects per dose group received a placebo; and a multiple-dose part, in an open-label, non-randomized design, where our individualized dosing regimen was administered on a single day with up to three increasing doses of GH001 (6 mg as the first dose, 12 mg as the second dose and 18 mg as the third dose), where the second and third doses were only administered in the event that the subject did not achieve a PE at the lower dose, as assessed by our proprietary PE scale, and where two different dose intervals (1 hour, 2 hours) were tested in 8 subjects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121920</wp:posOffset>
            </wp:positionV>
            <wp:extent cx="4937760" cy="27774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3776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7" w:name="page108"/>
    <w:bookmarkEnd w:id="10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primary endpoint of this trial was to assess the pharmacokinetic profile of 5-MeO-DMT and bufotenine, a metabolite of 5-MeO-DMT. Participants were monitored on the dosing day, with additional follow-up visits on day seven and day 30 after dosing.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Baseline Characteristics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30 participants (6 mg (n=8 GH001, n=2 placebo), 12 mg (n=8 GH001, n=2 placebo), 18 mg (n=8 GH001, n=2 placebo)) were recruited into the single-dose part of the trial, and 16 participants (n=16 GH001) were recruited into the multiple-dose part assessing the intraday individualized dosing regimen of GH001 with two different dosing intervals (n=8 GH001 each in the 1-hour and 2-hour interval group). The median age in the single-dose part was 28 years and in the multiple-dose part was 27 years. In the multiple-dose part, based on the PE-guided individualized dosing regimen, one participant received 6 mg of GH001 (in the 1-hour interval group), six participants received 6 mg followed by 12 mg of GH001 (three participants in the 1-hour and three participants in the 2-hour interval group) and 9 participants received 6 mg, followed by 12 mg and then 18 mg of GH001 (four participants in the 1-hour and five participants in the 2-hour interval group).</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All participants completed all planned visits. No SAEs were reported. 11 of 24 subjects (45.8%) who received GH001 in the single-dose part and 0 of 6 subjects (0%) who received placebo in the single-dose part experienced at least one ADR. In the multiple-dose part, 7 of 16 subjects (43.8%) who received GH001 experienced at least one ADR. All ADRs were mild. All ADRs resolved spontaneously. In the single-dose part, the ADRs reported were: headache (four participants), tachycardia, crying (each in two participants), chest discomfort, dizziness, dry mouth, dyskinesia, fatigue, hypoesthesia oral, retching, somnolence and tremor (each in one participant). In the multiple-dose part, the ADRs reported were: fatigue (three participants), headache, crying (each in two participants), abnormal dreams, paresthesia oral and tension (each in one participant). With the exception of a temporary, non-clinically relevant increase in heart rate and blood pressure shortly after administration of GH001, no noteworthy changes in vital parameters occurred. Similarly, no clinically relevant changes were observed for peak expiratory flow rate after administration nor in the safety laboratory analyses, ECG and psychiatric safety assessments, including the C-SSRS.</w:t>
      </w:r>
    </w:p>
    <w:p>
      <w:pPr>
        <w:spacing w:after="0" w:line="18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Results from pharmacokinetic analyses from the single dose part and the multiple-dose part were aligned with the ultra-rapid onset and short duration of observed psychoactive effects. Results of cognitive function tests as well as psychoactive effect assessments based on our proprietary PE scale were aligned with results of previous trials.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Conclusions</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Administration of GH001 via inhalation was observed to be well tolerated at the investigated single dose levels and in the individualized dosing regimen with intra-subject dose escalation with two dosing intervals (one hour, two hours) within a single day, with thirty days follow-up. The full results of the trial support that an interval down to one hour between individual doses of the individualized dosing regimen is feasible for use in future clinical trials.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Planned Regulatory Interactions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have recently submitted a request for a pre-IND meeting with the FDA to discuss our planned filing of a U.S. IND for GH001 in TRD. The meeting has been granted by the FDA for the second quarter of 2022. The proposed IND-opening study is a Phase 1 imaging study in patients with TRD designed to further elucidate the mechanism of action of GH001 (GH001-TRD-104). There are no current plans for additional regulatory meetings with other agencies.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Planned Clinical Trials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plan to conduct the following trials with GH001:</w:t>
      </w:r>
    </w:p>
    <w:p>
      <w:pPr>
        <w:spacing w:after="0" w:line="225" w:lineRule="exact"/>
        <w:rPr>
          <w:sz w:val="20"/>
          <w:szCs w:val="20"/>
          <w:color w:val="auto"/>
        </w:rPr>
      </w:pPr>
    </w:p>
    <w:p>
      <w:pPr>
        <w:ind w:left="660" w:right="48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multi-center, randomized, controlled Phase 2b trial evaluating safety and efficacy in patients with TRD, including an open-label extension (GH001-TRD-201);</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Phase 2a proof-of-concept trial evaluating safety and efficacy in patients with bipolar II disorder and a current depressive episode (GH001-BD-202);</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Phase 2a proof-of-concept trial evaluating safety and efficacy in patients with postpartum depression (GH001-PPD-203);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Phase 1 imaging study in patients with TRD, designed to further elucidate the mechanism of action of GH001 (GH001-TRD-104).</w:t>
      </w:r>
    </w:p>
    <w:p>
      <w:pPr>
        <w:spacing w:after="0" w:line="22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These trials will help inform our future clinical development plans and shape the most efficient path to market for GH001. Subject to completing clinical development, we plan to seek regulatory approval of GH001 in both the United States and Europe.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Indication Expansion Opportunities for GH001</w:t>
      </w:r>
    </w:p>
    <w:p>
      <w:pPr>
        <w:spacing w:after="0" w:line="229" w:lineRule="exact"/>
        <w:rPr>
          <w:sz w:val="20"/>
          <w:szCs w:val="20"/>
          <w:color w:val="auto"/>
        </w:rPr>
      </w:pPr>
    </w:p>
    <w:p>
      <w:pPr>
        <w:jc w:val="both"/>
        <w:ind w:right="360" w:firstLine="324"/>
        <w:spacing w:after="0" w:line="311" w:lineRule="auto"/>
        <w:rPr>
          <w:sz w:val="20"/>
          <w:szCs w:val="20"/>
          <w:color w:val="auto"/>
        </w:rPr>
      </w:pPr>
      <w:r>
        <w:rPr>
          <w:rFonts w:ascii="Arial" w:cs="Arial" w:eastAsia="Arial" w:hAnsi="Arial"/>
          <w:sz w:val="16"/>
          <w:szCs w:val="16"/>
          <w:color w:val="auto"/>
        </w:rPr>
        <w:t>Given GH001’s proposed mechanisms of resetting FC and serotonergic agonism, we believe that it represents a compelling therapeutic option for multiple psychiatric and neurological disorders other than TRD. Through collaborations with academic institutions and CROs we intend to explore the benefits of GH001 in additional psychiatric or neurological indications, the first of which are bipolar II disorder and postpartum depression.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Injectable 5-MeO-DMT Product Candidate GH002 and Intranasal 5-MeO-DMT Product Candidate GH003</w:t>
      </w:r>
    </w:p>
    <w:p>
      <w:pPr>
        <w:spacing w:after="0" w:line="22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GH002 is our second 5-MeO-DMT product candidate, formulated for administration via a proprietary injectable approach. We believe GH002 has the potential to be an attractive therapeutic option, e.g., in patients with underlying airway or pulmonary disease or in situations where it is difficult to assure that the GH001 inhalation is performed adequately, such as in acute psychiatric emergency care situations where a patient may be unable to use an inhalation device. GH003 is our third 5-MeO-DMT product candidate, formulated for administration via a proprietary intranasal administration approach. GH002 and GH003 are currently in preclinical development and we anticipate developing them in subpopulations and confined use scenarios within our focus area of psychiatric and neurological disorders.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Planned clinical trials with GH002 and GH003 include:</w:t>
      </w:r>
    </w:p>
    <w:p>
      <w:pPr>
        <w:spacing w:after="0" w:line="225"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Phase 1 trials in healthy volunteers to characterize the appropriate dose range when administered as an injectable or intranasally;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Phase 2a trials in a psychiatric or neurological disorder following completion of the Phase 1 healthy volunteer trials.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Nonclinical Experience</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5-MeO-DMT in vitro and in vivo toxicology data from published academic literature allowed initiation of our clinical trials GH001-HV-101, GH001-HV-103 and GH001-TRD-102. We have initiated, and partly completed, a nonclinical study program with additional in vitro and in vivo toxicology studies as well as safety pharmacology studies, including studies evaluating genotoxicity and cardiotoxicity with our high-purity API. The results of these studies together with the data from published academic literature are intended to support the initiation of our Phase 2a clinical trials in BDII (GH001-BD-202) and PPD (GH001-PPD-203) and initiation of our Phase 2b clinical trial of GH001 in patients with TRD (GH001-TRD-201) and may also form the basis of our clinical programs with additional product candidates, including GH002, our injectable 5-MeO-DMT product candidate, and GH003, our intranasal 5-MeO-DMT product candidate.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Systems and Routes of Administration for 5-MeO-DMT</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are working to optimize current delivery systems and to investigate additional delivery systems and additional routes of administration for 5-MeO-DMT, which we believe could expand the patient population that could benefit from our product candidates.</w:t>
      </w:r>
    </w:p>
    <w:p>
      <w:pPr>
        <w:spacing w:after="0" w:line="17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Currently, GH001, our inhalable 5-MeO-DMT product candidate, has been vaporized using an inhalation device purchased from a third party, which is a CE-marked medical device in the European Union and licensed as a medical device in Canada and Australia. We plan to continue to use that device in the planned Phase 2b trial in TRD patients and in the planned Phase 2a trials in bipolar II disorder and postpartum depression and in the planned Phase 1 imaging study in patients with TRD. We have started working with a CDMO to develop a proprietary delivery device for GH001, and we plan to use that proprietary device for our clinical trials once the development and the relevant bridging studies are completed.</w:t>
      </w:r>
    </w:p>
    <w:p>
      <w:pPr>
        <w:spacing w:after="0" w:line="176"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For GH002, our injectable 5-MeO-DMT product candidate, and GH003, our intranasal 5-MeO-DMT product candidate, we plan to either license or acquire the required delivery devices from third parties or work with a CDMO to develop such device and establish manufacturing capabilities for such device.</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expect that GH001, GH002 and GH003 along with the accompanying devices, will be regulated by the FDA as drug-device combination products.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do not own or operate, and currently have no plans to establish, any manufacturing facilities. We rely on CDMOs to further develop and synthesize the API that is contained in our GH001, GH002 and GH003 product candidates and to further develop and manufacture our product candidates. The manufacturing processes are contracted so that the relevant API and product candidate manufacturing steps are compliant with cGMP. We expect to continue to rely upon third parties for the development and production of all clinical supply API and drug product that we may use. We also use contract manufacturers to fill, label, package, store and distribute our product candidates. We currently rely on a single supplier for our API and a single supplier for our GH001 product candidate, and because we maintain only a limited supply of API and GH001 product candidate we may not be able to avoid a material disruption in the event of any need to replace one or more of our suppliers. We currently acquire from a third party the vaporization device used to create the inhaled aerosol from our GH001 product candidate. We do not have a commercial supply agreement with this third party, nor have we established license agreements with any alternative provider of a suitable vaporization device. It is, however, our intention, for GH001, GH002 and GH003 and for any future delivery platforms that include the use of a device, to either license or acquire the required delivery devices from third parties or work with a CDMO to develop such device and establish manufacturing capabilities for such device. In this regard, we have started working with a CDMO to develop a proprietary delivery device for GH001.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jc w:val="both"/>
        <w:ind w:right="80" w:firstLine="324"/>
        <w:spacing w:after="0" w:line="311" w:lineRule="auto"/>
        <w:rPr>
          <w:sz w:val="20"/>
          <w:szCs w:val="20"/>
          <w:color w:val="auto"/>
        </w:rPr>
      </w:pPr>
      <w:r>
        <w:rPr>
          <w:rFonts w:ascii="Arial" w:cs="Arial" w:eastAsia="Arial" w:hAnsi="Arial"/>
          <w:sz w:val="16"/>
          <w:szCs w:val="16"/>
          <w:color w:val="auto"/>
        </w:rPr>
        <w:t>If either of our GH001, GH002 and GH003 product candidates are approved, we plan to use our own sales and marketing capabilities, targeting public and private healthcare providers and clinic networks in the United States and major European markets. However, depending on the situation, we may enter into commercialization collaborations, partnering or licensing agreements with third parties who have complementary commercial capabilities.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Our industry is characterized by many newly emerging and innovative technologies, intense competition and a strong emphasis on proprietary product rights. While we believe that our GH001, GH002 and GH003 product candidates represent a fundamental shift in the treatment paradigm relative to other TRD treatments on the market and under development, we face potential competition from many different sources, including major pharmaceutical, specialty pharmaceutical and biotechnology companies, academic institutions, non-profit organizations, governmental agencies and medical research organizations. Any product candidates that we successfully develop and commercialize, including our GH001, GH002 and GH003 product candidates, will compete with the standard of care and new therapies, both pharmacological and somatic, which may become available in the future.</w:t>
      </w:r>
    </w:p>
    <w:p>
      <w:pPr>
        <w:spacing w:after="0" w:line="164"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Based on the current understanding of regulatory agencies, TRD encompasses patients who have not been helped by two or more MDD pharmacotherapies. Currently, only two pharmacotherapies are approved for TRD in the United States: Spravato (esketamine), marketed by Janssen, which is an NMDA receptor antagonist; and olanzapine and fluoxetine hydrochloride capsules, which are available generically. Because of this, antidepressants indicated for use in MDD are frequently prescribed, combined or augmented with a second agent to treat TRD patients. Several biopharmaceutical companies have therapies, including other psychedelic-based compounds, in preclinical and clinical development being evaluated or planned to be evaluated in mental illness, including in TRD patients, including Axsome Therapeutics, Beckley Psytech, COMPASS Pathways, Cybin, Entheon, Mindmed, Perception Neuroscience, Praxis Precision Medicines, Relmada Therapeutics, Sage Therapeutics, Small Pharma and Viridia Life Sciences. Of the programs with other psychedelic-based compounds, the most advanced is COMPASS Pathways’ investigational therapy COMP360 given in conjunction with psychological support, for which topline results of a Phase 2b trial in TRD have been reported.</w:t>
      </w:r>
    </w:p>
    <w:p>
      <w:pPr>
        <w:spacing w:after="0" w:line="18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Many of the pharmaceutical, biopharmaceutical and biotechnology companies with whom we may compete have established markets for their therapies and have substantially greater financial, technical, human and other resources than we do and may be better equipped to develop, manufacture and market superior products or therapies. In addition, many of these potential competitors have significantly greater experience than we have in undertaking nonclinical studies and human clinical trials of new therapeutic substances and in obtaining regulatory approvals of human therapeutic products. Accordingly, our competitors may succeed in obtaining FDA or EMA approval for alternative or superior products. In addition, many competitors have greater name recognition and more extensive collaborative relationships. Smaller and earlier-stage companies may also prove to be significant competitors, particularly through collaborative arrangements with large, established companies. A growing number of companies are increasing their efforts in discovery of new psychedelic compounds.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Our commercial success is to some extent tied to obtaining, maintaining and enforcing intellectual property rights protection in patents, trade secrets and other proprietary rights in the European Union, United States, United Kingdom and other jurisdictions. We plan to continue to strategically protect our innovations with a parallel IP strategy, combining patent protection with regulatory and market exclusivity. We also may rely on trade secrets and know-how relating to our proprietary technologies, on continuing innovation and on future in-licensing opportunities to develop, strengthen and maintain the strength of our competitive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Strategy</w:t>
      </w:r>
    </w:p>
    <w:p>
      <w:pPr>
        <w:spacing w:after="0" w:line="225"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We previously filed four patent applications covering novel aerosol compositions of matter of 5-MeO-DMT, novel manufacturing methods for the purification of 5-MeO-DMT, high purity 5-MeO-DMT and novel uses of 5-MeO-DMT in various disorders. We have since filed a number of new, as-yet-unpublished applications directed to further aspects of 5-MeO-DMT use in a therapeutic context. We are committed to exploring additional opportunities with 5-MeO-DMT through continuous research and development and will continue to seek patent protection for all our innovations.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Applications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patent applications, WO2020169850 and WO2020169851, which collectively cover novel uses of 5-MeO-DMT in various disorders, including the use of 5-MeO-DMT for treatment of TRD when administered by inhalation, or by nasal, buccal, sublingual, intravenous, intramuscular or subcutaneous administration, were filed on February 24, 2020, with a priority date of February 22, 2019. For both applications, national stage applications have been filed with the United States Patent and Trademark Office, or USPTO, with the European Patent Office, or EPO, and several other national patent offices. An additional patent application, WO2020254584, which covers novel manufacturing methods for the purification of 5-MeO-DMT and high purity 5-MeO-DMT, was filed on June 19, 2020, with a priority date of June 19, 2019. For this application, national stage applications have also been filed in a number of patent offices, including the USPTO and EPO. A further patent application was filed on February 24, 2021, with a priority date of February 24, 2020. This application, WO2021170614, covers novel aerosol compositions of matter of 5-MeO-DMT, including the aerosol that is generated for the administration of GH001.</w:t>
      </w:r>
    </w:p>
    <w:p>
      <w:pPr>
        <w:spacing w:after="0" w:line="18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patent application WO2021170614 is an international Patent Cooperation Treaty, or PCT, application. PCT applications are not eligible to become an issued patent until, among other things, we file one or more national state patent applications within, depending on the country, 30 to 32 months of the PCT application’s priority date in the countries in which we seek patent protection. For this PCT application, we have not yet filed any national stage applications. If we do not timely file any national stage patent applications, we may lose our ability to obtain patent protection on the inventions disclosed in this patent application. While we intend to timely file national stage patent applications relating to our PCT patent application, we cannot predict whether any such patent applications will result in the issuance of patents that provide us with any competitive advantage.</w:t>
      </w:r>
    </w:p>
    <w:p>
      <w:pPr>
        <w:spacing w:after="0" w:line="178"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A number of new applications, which have not yet been published, have also been filed that relate to further aspects of 5-MeO-DMT use in a therapeutic context, including novel manufacturing methods of 5-MeO-DMT, novel salt forms of 5-MeO-DMT and novel uses of 5-MeO-DMT. These applications may serve as a priority application for a PCT application in the future, which can be filed within one year from the original filing date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and jurisdictions extensively regulate, among other things, the research, development, testing, manufacture, quality control, approval, packaging, storage, record 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In the United States, pharmaceutical products are subject to extensive regulation by the FDA. The FDCA and other federal and state statutes and regulations, govern, among other things, the research, development, testing, manufacture, storage, record keeping, approval, labeling, promotion and marketing, distribution, post-approval monitoring and reporting, sampling, and import and export of pharmaceutical products and medical devices. Failure to comply with applicable U.S. requirements may subject a company to a variety of administrative or judicial sanctions, such as a clinical hold, FDA refusal to approve a pending new drug application, or NDA, warning or untitled letters, product recalls, product seizures, total or partial suspension of production or distribution, injunctions, fines, civil penalties and criminal prosecution.</w:t>
      </w:r>
    </w:p>
    <w:p>
      <w:pPr>
        <w:spacing w:after="0" w:line="178"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Pharmaceutical product development for a new product in the United States, including a drug-device combination product, typically involves preclinical laboratory and animal tests, the submission to the FDA of an investigational new drug application, or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17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controls, or product CMC, information about the device component of a drug-device combination product and a proposed clinical trial protocol. Long-term preclinical tests, such as animal tests of reproductive toxicity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w:t>
      </w:r>
    </w:p>
    <w:p>
      <w:pPr>
        <w:spacing w:after="0" w:line="178" w:lineRule="exact"/>
        <w:rPr>
          <w:sz w:val="20"/>
          <w:szCs w:val="20"/>
          <w:color w:val="auto"/>
        </w:rPr>
      </w:pPr>
    </w:p>
    <w:p>
      <w:pPr>
        <w:ind w:right="240" w:firstLine="324"/>
        <w:spacing w:after="0" w:line="275" w:lineRule="auto"/>
        <w:rPr>
          <w:sz w:val="20"/>
          <w:szCs w:val="20"/>
          <w:color w:val="auto"/>
        </w:rPr>
      </w:pPr>
      <w:r>
        <w:rPr>
          <w:rFonts w:ascii="Arial" w:cs="Arial" w:eastAsia="Arial" w:hAnsi="Arial"/>
          <w:sz w:val="17"/>
          <w:szCs w:val="17"/>
          <w:color w:val="auto"/>
        </w:rPr>
        <w:t>Clinical trials involve the administration of the IND to healthy volunteers or patients under the supervision of a qualified investigator. Clinical trials must be conducted (i) in compliance with federal regulations; (ii) in compliance with Good Clinical Practices, or GCPs, which are standards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7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study protocol and informed consent information for patients in clinical trials must also be submitted to an institutional review board, or IRB, for approval. An IRB may also require the clinical trial at the site to be halted, either temporarily or permanently, for failure to comply with the IRB’s requirements or may impose other conditions.</w:t>
      </w:r>
    </w:p>
    <w:p>
      <w:pPr>
        <w:spacing w:after="0" w:line="188"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Clinical trials to support NDAs for marketing approval are typically conducted in three sequential phases, but the phases may be combined or overlap. Phase 1 involves the initial introduction of the drug into healthy human subjects or patients, the drug is tested to assess metabolism, pharmacokinetics, pharmacological actions, side effects associated with increasing doses, and if possible, early evidence on effectiveness. Phase 2 usually involves trials in a limited patient population to determine the effectiveness of the drug for a particular indication, dosage tolerance and optimum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drug. In most cases, the FDA requires two adequate and well-controlled Phase 3 clinical trials to demonstrate the efficacy of the drug. A single Phase 3 trial may be sufficient in rare instances, including (i)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(ii) when in conjunction with other confirmatory evidence.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manufacturer of an investigational drug in a Phase 2 or 3 clinical trial for a serious or life-threatening disease is required to make available, such as by posting on its website, its policy on evaluating and responding to requests for expanded access.</w:t>
      </w:r>
    </w:p>
    <w:p>
      <w:pPr>
        <w:spacing w:after="0" w:line="17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After completion of the required clinical testing, an NDA is prepared and submitted to the FDA. FDA approval of the NDA is required before marketing of the product may begin in the United States. The NDA must include the results of all preclinical, clinical and other testing and a compilation of data relating to the product’s pharmacology, chemistry, manufacture and controls. In the case of a drug-device combination product, the NDA must also include design, testing, manufacturing and quality information to support the device constituent, including information to support its use and compatibility with the drug constituent. The cost of preparing and submitting an NDA is substantial. The submission of most NDAs is additionally subject to a substantial application user fee, and the applicant under an approved NDA is also subject to an annual program fee. These fees are typically increased annually.</w:t>
      </w:r>
    </w:p>
    <w:p>
      <w:pPr>
        <w:spacing w:after="0" w:line="19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FDA has 60 days from its receipt of an NDA to determine whether the application will be filed based on the FDA’s threshold determination that it is sufficiently complete to permit substantive review. Once the submission is filed, the FDA begins an in-depth review. The FDA has agreed to certain performance goals in the review of NDAs. Most applications for standard review drug products that are new molecular entities, or NMEs, are reviewed within 10 months of the date that the FDA files the NDA; most applications for priority review drugs that are NMEs are reviewed within six months of the date that the FDA files the NDA. Priority review can be applied to drugs that the FDA determines offer major advances in treatment or provide a treatment where no adequate therapy exists.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66"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The FDA may also refer applications for novel drug products, or drug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w:t>
      </w:r>
    </w:p>
    <w:p>
      <w:pPr>
        <w:spacing w:after="0" w:line="16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Before approving an NDA, the FDA will typically inspect one or more clinical sites to assure compliance with GCP. Additionally, the FDA will generally inspect the facility or the facilities at which the drug and in the case of a drug-device combination product, the device constituent, is manufactured. The FDA will not approve the product unless compliance with cGMPs is satisfactory and the NDA contains data that demonstrate that the drug is safe and effective in the indication studied.</w:t>
      </w:r>
    </w:p>
    <w:p>
      <w:pPr>
        <w:spacing w:after="0" w:line="187"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After the FDA evaluates the NDA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NDA, the FDA will issue an approval letter. The FDA has committed to reviewing such resubmissions in two or six months depending on the type of information included.</w:t>
      </w:r>
    </w:p>
    <w:p>
      <w:pPr>
        <w:spacing w:after="0" w:line="15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An approval letter authorizes commercial marketing of the drug with specific prescribing information for specific indications. As a condition of NDA approval, the FDA may require a risk evaluation and mitigation strategy, or REMS, to help ensure that the benefits of the drug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NDAs.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Combination Products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 combination product is a product comprising (i) two or more regulated components, i.e., drug-device, biologic-device, drug/biologic or drug-device/biologic, that are physically, chemically or otherwise combined or mixed and produced as a single entity; (ii) two or more separate products packaged together in a single package or as a unit and comprising drug and device products, device and biological products or biological and drug products; (iii) a drug, device or biological product packaged separately that according to its investigational plan or proposed labeling is intended for use only with an approved individually specified drug, device or biological product where both are required to achieve the intended use, indication or effect and where upon approval of the proposed product the labeling of the approved product would need to be changed, for example, to reflect a change in intended use, dosage form, strength, route of administration or significant change in dose; or (iv) any investigational drug,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18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FDA is divided into various branches, or Centers, by product type. Different Centers typically review drug, biologic or device applications. In order to review an application for a combination product, the FDA must decide which Center should be responsible for the review. FDA regulations require that the FDA determine the combination product’s primary mode of action, which is the single mode of a combination product that provides the most important therapeutic action of the combination product. The Center that regulates that portion of the product becomes the lead evaluator. When evaluating an application, a lead Center may consult other Centers but still retain complete reviewing authority, or it may collaborate with another Center, by which the Center assigns review of a specific section of the application to another Center, delegating its review authority for that section. Typically, an applicant submits a single marketing application to the Center selected to be the lead evaluator, although separate applications for each constituent part may be submitted to the applicable Centers. One reason to submit multiple evaluations is if the applicant wishes to receive some benefit that accrues only from approval under a particular type of application, like new drug product exclusivity. If multiple applications are submitted, each may be evaluated by a different lead Center.</w:t>
      </w:r>
    </w:p>
    <w:p>
      <w:pPr>
        <w:spacing w:after="0" w:line="18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a drug-device combination product, where the device component is a pre-filled drug delivery device, the primary mode of action is typically a drug mode of action with the Center for Drug Evaluation and Research, or CDER, as the lead Center. CDER would review the NDA in consultation with the Center for Devices and Radiological Health on device-specific issues. For co-packaged or single entity combination products, such as pre-filled drug delivery devices, there are two ways to comply with cGMP requirements. Manufacturers can either (i) demonstrate compliance with all cGMP regulations applicable to each of the constituent parts in the combination product or (ii) in the case of drug-device combination products, demonstrate compliance with either the drug cGMP regulations or the device quality system requirements, or device QSR, and also demonstrate compliance with additional provisions from the other of these two sets of cGMP requirements, as specified in the combination products regulations.</w:t>
      </w:r>
    </w:p>
    <w:p>
      <w:pPr>
        <w:spacing w:after="0" w:line="177"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Failure to comply with applicable regulatory requirements can result in enforcement action by the FDA, which may include any of the following sanctions: warning or untitled letters, fines, injunctions, civil or criminal penalties, recall or seizure of current or future products, operating restrictions, partial suspension or total shutdown of production, refusal or denial of submissions for new products or withdrawal of clearance, authorization or approval.</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Development and Review Programs for Drugs</w:t>
      </w:r>
    </w:p>
    <w:p>
      <w:pPr>
        <w:spacing w:after="0" w:line="22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and the purpose of these programs is to either expedite the development or review of important new drugs.</w:t>
      </w:r>
    </w:p>
    <w:p>
      <w:pPr>
        <w:spacing w:after="0" w:line="14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 drug is eligible for Fast Track Designation if it is intended to treat a serious or life-threatening disease or condition and demonstrates the potential to address unmet medical needs for such disease or condition. Fast Track Designation provides increased opportunities for sponsor interactions with the FDA during preclinical and clinical development, in addition to the potential for rolling review of a marketing application. Rolling review means that the Agency may review portions of the marketing application before the sponsor submits the complete application, though the review clock does not begin until all portions of the application have been submitted.</w:t>
      </w:r>
    </w:p>
    <w:p>
      <w:pPr>
        <w:spacing w:after="0" w:line="188"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In addition, a drug may be eligible for Breakthrough Therapy Designation if it is intended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drug development program and FDA organizational commitment to expedited development, including involvement of senior managers and experienced review staff in a cross-disciplinary review, where appropriate.</w:t>
      </w:r>
    </w:p>
    <w:p>
      <w:pPr>
        <w:spacing w:after="0" w:line="161"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designation, once an NDA is submitted, if the drug that is the subject of the marketing application has the potential to provide a significant improvement in safety or effectiveness in the treatment, diagnosis or prevention of a serious disease or condition. If the FDA grants priority review, the FDA’s goal date to take action on the marketing application is six months compared to 10 months for a standard review.</w:t>
      </w:r>
    </w:p>
    <w:p>
      <w:pPr>
        <w:spacing w:after="0" w:line="16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 product is eligible for Accelerated Approval if it can be shown to have an effect on a surrogate endpoint that is reasonably likely to predict clinical benefit, or an effect on an intermediate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contingent on a sponsor’s agreement to conduct additional post-approval studies to verify and describe the product’s clinical benefit. These confirmatory trials must be completed with due diligence, and, in most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In addition, the FDA generally requires, as a condition for Accelerated Approval, that all advertising and promotional materials intended for dissemination or publication be submitted to the FDA for review.</w:t>
      </w:r>
    </w:p>
    <w:p>
      <w:pPr>
        <w:spacing w:after="0" w:line="18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though they may expedite the development or review process.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Under the Orphan Drug Act, the FDA may grant orphan drug designation to products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spacing w:after="0" w:line="18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Orphan drug designation must be requested before submitting an NDA. After the FDA grants orphan drug designation, the identity of the drug and its potential orphan use are disclosed publicly by the FDA. Orphan drug designation does not convey any advantage in, or shorten the duration of, the regulatory review and approval process.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first NDA applicant to receive FDA approval for a particular active moiety to treat a rare disease for which it has such designation is entitled to a seven-year exclusive marketing period in the United States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FDA from approving a different drug for the same disease or condition or the same drug for a different disease or condition. Other benefits of orphan drug designation include tax credits for certain research and an exemption from the NDA application fee.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Clinical Trial Information</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Sponsors of clinical trials of FDA-regulated products, including drugs, are required to register and disclose certain clinical trial information on 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Information</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Under the Pediatric Research Equity Act,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The FDA may grant full or partial waivers or deferrals for submission of data.</w:t>
      </w:r>
    </w:p>
    <w:p>
      <w:pPr>
        <w:spacing w:after="0" w:line="184"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Best Pharmaceuticals for Children Act, or BPCA, provides NDA holders a six-month extension of any exclusivity—patent or non-patent—for a drug if certain conditions are met.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Once an NDA is approved, a product will be subject to certain post-approval requirements. For instance, the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accordance with the provisions of the approved labeling.</w:t>
      </w:r>
    </w:p>
    <w:p>
      <w:pPr>
        <w:spacing w:after="0" w:line="1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Adverse event reporting and submission of periodic reports is required following FDA approval of an NDA. The FDA also may require post-marketing testing, known as Phase 4 testing, REMS and surveillance to monitor the effects of an approved product, or the FDA may place conditions on an approval that could restrict the distribution or use of the product. In addition, quality 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 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18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 FDA strictly regulates marketing, labeling, advertising and promotion of drugs that are placed on the market. Advertising and promotion of drugs must be in compliance with the FDCA and its implementing regulations and only for the approved indications and in a manner consistent with the approved labeling. The FDA and other agencies actively enforce the laws and regulations prohibiting the promotion of off-label uses, and a company that is found to have improperly promoted off-label uses may be subject to significant liability, including investigation by federal and state authorities.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Hatch-Waxman Amendments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Orange Book Listing</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seeking approval for a drug through an NDA, applicants are required to list with the FDA each patent whose claims cover the applicant’s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generic competitors in support of approval of an Abbreviated New Drug Application, or ANDA. An ANDA provides for marketing of a drug product that has the same active ingredients in the same strengths and dosage form as the listed drug and has been shown through bioequivalence testing to be therapeutically equivalent to the listed drug. Other than the requirement for bioequivalence testing, ANDA applicants are not required to conduct, or submit results of, preclinical or clinical tests to prove the safety or effectiveness of their drug product. Drugs approved in this way are commonly referred to as “generic equivalents” to the listed drug and can often be substituted by pharmacists under prescriptions written for the original listed drug.</w:t>
      </w:r>
    </w:p>
    <w:p>
      <w:pPr>
        <w:spacing w:after="0" w:line="16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ANDA applicant is required to certify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statement certifying that its proposed ANDA label does not contain (or carve out) any language regarding the patented method-of-use rather than certify to a listed method-of-use patent. If the applicant does not challenge the listed patents, the ANDA application will not be approved until all the listed patents claiming the referenced product have expired. A certification that the new product will not infringe the already approved product’s listed patents, or that such patents are invalid, is called a Paragraph IV certification.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17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ANDA application also will not be approved until any applicable non-patent exclusivity listed in the Orange Book for the referenced product has expired.</w:t>
      </w:r>
    </w:p>
    <w:p>
      <w:pPr>
        <w:spacing w:after="0" w:line="17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To the extent that a Section 505(b)(2) applicant is relying on the FDA’s prior findings of safety or effectiveness for an already approved product, the applicant is required to certify to the FDA concerning any patents listed for the approved product in the Orange Book to the same extent that an ANDA applicant would. Thus, approval of a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Exclusivity</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Upon NDA approval of a new chemical entity, which is a drug that contains no active moiety that has been approved by the FDA in any other NDA, that drug receives five years of marketing exclusivity during which the FDA cannot receive any ANDA seeking approval of a generic version of that drug. An ANDA may be submitted one year before new chemical entity exclusivity expires if a Paragraph IV certification is filed. If there is no listed patent in the Orange Book, there may not be a Paragraph IV certification, and, thus, no ANDA may be filed before the expiration of the exclusivity period. Certain changes to a drug, such as the addition of a new indication to the package insert, can be the subject of a three-year period of exclusivity if the application contains reports of new clinical investigations (other than bioavailability studies) conducted or sponsored by the sponsor that were essential to approval of the application. The FDA cannot approve an ANDA for a generic drug that includes the change during the exclusivity period.</w:t>
      </w: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7" w:name="page118"/>
    <w:bookmarkEnd w:id="1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Extension</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After NDA approval, owners of relevant drug patents may apply for up to a five-year patent extension. The allowable patent term extension is calculated as half of the drug’s testing phase (the time between IND application and NDA submission) and all of the review phase (the time between NDA submission and approval), up to a maximum of five years. The extension period can be shortened if, among other things, the FDA determines that the applicant did not pursue approval with due diligence. The total patent term after the extension may not exceed 14 years, and only one patent can be extended.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To obtain interim patent extension, the director of the United States Patent and Trademark Office, or USPTO, must determine that approval of the drug covered by the patent for which a patent extension is being sought is likely. Interim patent extensions are not available for a drug for which an NDA has not been submitted.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Controlled Substances</w:t>
      </w:r>
    </w:p>
    <w:p>
      <w:pPr>
        <w:spacing w:after="0" w:line="22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CSA and its implementing regulations establish a “closed system” of manufacture and distribution of controlled substances. The CSA and regulations promulgated by the U.S. Drug Enforcement Administration, or DEA, impose registration, security, record keeping and reporting, storage and other requirements on individuals and other entities that handle controlled substances. The DEA is the federal agency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7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DEA categorizes controlled substances into one of five schedules—Schedule I, II, III, IV or V—depending on the relative potential for dependence and abuse. Schedule I substances by definition have the highest potential for abuse, have no currently accepted medical use in treatment in the United States and lack accepted safety for use under medical supervision. Pharmaceutical products that have some abuse potential but do have a currently accepted medical use and are approved for marketing are classified in Schedule II, III, IV or V. Among controlled substances that can be marketed, Schedule II substances are considered to have the highest potential for abuse and physical or psychological dependence, and Schedule V substances the lowest relative potential for abuse and dependence.</w:t>
      </w:r>
    </w:p>
    <w:p>
      <w:pPr>
        <w:spacing w:after="0" w:line="19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5-MeO-DMT is currently classified as a Schedule I drug and, if approved for marketing in the United States, will need to be rescheduled by the DEA before it can be commercially marketed, distributed and sold. Rescheduling is dependent on FDA approval and an FDA recommendation to the DEA as to the appropriate schedule. The DEA must conduct notice and comment rulemaking to reschedule a substance. Such action is subject to public comment and potential requests for administrative hearing on any such action. In addition, each state or jurisdiction must also take appropriate administrative or legislative action to reschedule based on federal action.</w:t>
      </w:r>
    </w:p>
    <w:p>
      <w:pPr>
        <w:spacing w:after="0" w:line="188"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Manufacturers, importers, exporters and distributors must register annually with the DEA to handle controlled substances. Pharmacies and physicians must register every three years. The DEA registration is specific to each facility (i.e., physical location) and the activity(ies) and controlled substance schedule(s) handled at each location.</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8" w:name="page119"/>
    <w:bookmarkEnd w:id="1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DEA inspects all manufacturing, importing and distribution facilities to review security, record keeping, reporting and handling prior to issuing a controlled substance registration. The specific security requirements vary by the type of business activity and the schedule and quantity of controlled substances handled. The most stringent requirements apply to manufacturers, importers and distributors of Schedule I and Schedule II substances. Required security measures include restricted access and physical control of controlled substances through storage in approved vaults, safes and cages and through use of alarm systems and surveillance cameras. Once registered, manufacturing facilities must maintain records documenting the manufacture, receipt and inventory and distribution of all controlled substances. Manufacturers must submit periodic reports to the DEA of the distribution of Schedule I and II controlled substances, Schedule III narcotic substances and other designated substances. All DEA registrants (including manufacturers, importers and distributors) must comply with security, record keeping and reporting requirements such as reporting any controlled substance thefts or significant losses and following appropriate procedures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 In some cases, Schedule III non-narcotic substances may be subject to the import/export permit requirement, if necessary, to ensure that the United States complies with its obligations under international drug control treaties.</w:t>
      </w:r>
    </w:p>
    <w:p>
      <w:pPr>
        <w:spacing w:after="0" w:line="184"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Each manufacturer must apply for an individual manufacturing or procurement quota which represents the amount each facility can manufacture in a given year.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64"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Different states within the United States also maintain separate controlled substance laws and regulations, including licensing, record keeping, security, distribution and dispensing requirements. State authorities, including boards of pharmacy, regulate use of controlled substances in each state.</w:t>
      </w:r>
    </w:p>
    <w:p>
      <w:pPr>
        <w:spacing w:after="0" w:line="124"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Failure to maintain compliance with applicable requirements, particularly as manifested in the loss or diversion of controlled substances, can result in enforcement action that could have a material adverse effect on our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14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United States and the majority of countries are signatories to the UN international drug control treaties which dictate certain scheduling, licensing, restrictions and other requirements involving controlled substances. Because 5-MeO-DMT is classified as a Schedule I controlled substance under the UN Convention on Psychotropic Substances, 1971 most countries maintain laws and regulations comparable to those in the United Stated related to 5-MeO-DMT and other controlled substances.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and Procedures Governing Approval of Medicinal Products in the European Union</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initiate clinical trials or marketing of the product in those countries or jurisdictions. Specifically, the process governing approval of medicinal products in the European Union generally follows similar pathways as in the United States, although the approval of a medicinal product in the United States is no guarantee of approval of the same product in the European Union, either at all or within the same timescale as approval may be granted in the United States. It entails satisfactory completion of pharmaceutical development, nonclinical studies and adequate and well-controlled clinical trials to establish the safety and efficacy of the medicinal product for each proposed indication. It also requires the submission to relevant competent authorities for clinical trials authorization for a marketing authorization application, or MAA, and granting of a marketing authorization by these authorities before the product can be marketed and sold in the European Union or its member states (as well as Iceland, Norway and Liechtenstein). If we fail to comply with applicable requirements, we may be subject to, among other things, fines, suspension of clinical trials, suspension or withdrawal of regulatory approvals, product recalls, seizure of products, operating restrictions and criminal prosecution.</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Approval</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the European Union, an applicant for authorization of a clinical trial must obtain prior approval from the national competent authority of the EU Member States in which the clinical trial is to be conducted. Furthermore, the applicant may only start a clinical trial at a specific study site after the relevant independent ethics committee has issued a favorable opinion in relation to the clinical trial. In April 2014, the European Union adopted a new Clinical Trials Regulation (EU) No 536/2014, which replaced the previous Clinical Trials Directive 2001/20/EC. It has reshaped the system of approvals for clinical trials in the European Union. Specifically, the new legislation, which is directly applicable in all EU member states (meaning that no national implementing legislation in each EU member state is required), aims at simplifying and streamlining the approval of clinical trials in the European Union. For instance, the new Clinical Trials Regulation provides for a streamlined application procedure via a single-entry point—the Clinical Trials Information System, or CTIS, and strictly defined deadlines for the assessment of clinical trial applications. The new Clinical Trials Regulation (EU) No. 536/2014 became applicable on January 31, 2022. The transitory provisions of the new Clinical Trials Regulation offer sponsors the possibility to choose whether to submit a new clinical trial application under the Clinical Trials Directive 2001/20/EC or the Clinical Trials Regulation (EU) No 536/2014 if the request for authorization of a clinical trial is submitted in the year after the new Clinical Trials Regulation became applicable. If the sponsor chooses to submit under the Clinical Trials Directive 2001/20/EC, the clinical trial continues to be governed by the Clinical Trials Directive 2001/20/EC until three years after the new Clinical Trials Regulation (EU) No 536/2014 became applicable. If a clinical trial continues for more than three years after the Clinical Trials Regulation (EU) No 536/2014 became applicable, the Clinical Trials Regulation (EU) No 536/2014 will at that time begin to apply to the clinical trial and it must be transferred to CTIS by January 31, 2025, if still ongoing by the end of the transition period. However, no new national clinical trial applications can be submitted under the Clinical Trials Directive 2001/20/EC after January 31, 2023. Consequently, if the sponsor has chosen to submit the clinical trial application under the Clinical Trials Directive during the one-year transition period ending on January 31, 2023, a new EU member state can only be added to the clinical trial after January 31, 2023 once the entire clinical trial has been transferred to CTIS.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w:t>
      </w:r>
    </w:p>
    <w:p>
      <w:pPr>
        <w:spacing w:after="0" w:line="225"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color w:val="auto"/>
        </w:rPr>
        <w:t>To obtain a marketing authorization for a product under the EU regulatory system, an applicant must submit an MAA, either under a centralized procedure administered by the EMA or one of the procedures administered by competent authorities in EU member states (decentralized procedure, national procedure or mutual recognition procedure). A marketing authorization may be granted only to an applicant established in the European Union.</w:t>
      </w:r>
    </w:p>
    <w:p>
      <w:pPr>
        <w:spacing w:after="0" w:line="149"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The centralized procedure provides for the grant of a single marketing authorization by the European Commission that is valid for all EU member states (as well as Iceland, Norway and Liechtenstein). Pursuant to Regulation (EC) No 726/2004, the centralized procedure is compulsory for specific products, including products with a new active substance indicated for the treatment of certain diseases, including products for the treatment of TRD. For those products for which the use of the centralized procedure is not mandatory, applicants may elect to use the centralized procedure where either the product contains a new active substance indicated for the treatment of other diseases or where the applicant can show that the product constitutes a significant therapeutic, scientific or technical innovation or for which a centralized process is in the interest of patients at an EU level.</w:t>
      </w:r>
    </w:p>
    <w:p>
      <w:pPr>
        <w:spacing w:after="0" w:line="164"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Under the centralized procedure, the Committee for Medicinal Products for Human use, or the CHMP, which is the EMA’s committee that is responsible for human medicines, established at the EMA is responsible for conducting the assessment of whether a medicine meets the required quality, safety and efficacy requirements and whether the product has a positive risk/benefit/risk profile. Under the centralized procedure, the maximum timeframe for the evaluation of an MAA is 210 days from the receipt of a valid MAA, excluding clock stops when additional information or written or oral explanation is to be provided by the applicant in response to questions of the CHMP. Clock stops may extend the timeframe of evaluation of an MAA considerably beyond 210 days. Where the CHMP gives a positive opinion, it provides the opinion together with supporting documentation to the European Commission, who make the final decision to grant a marketing authorization. Accelerated evaluation may be granted by the CHMP in exceptional cases, when a medicinal product is of major interest from the point of view of public health and, in particular, from the viewpoint of therapeutic innovation. If the CHMP accepts such a request, the timeframe of 210 days for assessment will be reduced to 150 days (excluding clock stops), but it is possible that the CHMP may revert to the standard time limit for the centralized procedure if it determines that the application is no longer appropriate to conduct an accelerated assessment.</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0" w:name="page121"/>
    <w:bookmarkEnd w:id="1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PRIME Scheme</w:t>
      </w:r>
    </w:p>
    <w:p>
      <w:pPr>
        <w:spacing w:after="0" w:line="225"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The EMA offers a scheme that is intended to reinforce early dialogue with, and regulatory support from, the EMA in order to stimulate innovation, optimize development and enable accelerated assessment of PRIority MEdicines, or PRIME. It is intended to build upon the scientific advice scheme and accelerated assessment procedure offered by the EMA. The scheme is voluntary and eligibility criteria must be met for a medicine to qualify for PRIME.</w:t>
      </w:r>
    </w:p>
    <w:p>
      <w:pPr>
        <w:spacing w:after="0" w:line="14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PRIME scheme is open to medicines under development and for which the applicant intends to apply for an initial marketing authorization application through the centralized procedure. Eligible products must target conditions for which there is an unmet medical need (there is no satisfactory method of diagnosis, prevention or treatment in the European Union or, if there is, the new medicine will bring a major therapeutic advantage) and they must demonstrate the potential to address the unmet medical need by introducing new methods or therapy or improving existing ones.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applicants from the academic sector or SMEs (small and medium sized enterprises) may submit an eligibility request at an earlier stage of development if compelling nonclinical data in a relevant model provide early evidence of promising activity, and first in man studies indicate adequate exposure for the desired pharmacotherapeutic effects and tolerability.</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a medicine is selected for the PRIME scheme, the EMA:</w:t>
      </w:r>
    </w:p>
    <w:p>
      <w:pPr>
        <w:spacing w:after="0" w:line="225" w:lineRule="exact"/>
        <w:rPr>
          <w:sz w:val="20"/>
          <w:szCs w:val="20"/>
          <w:color w:val="auto"/>
        </w:rPr>
      </w:pPr>
    </w:p>
    <w:p>
      <w:pPr>
        <w:ind w:left="660" w:right="38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appoints a rapporteur from the CHMP or from the Committee for Advanced Therapies, or CAT, to provide continuous support and to build up knowledge of the medicine in advance of the filing of a marketing authorization application;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issues guidance on the applicant’s overall development plan and regulatory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organizes a kick-off meeting with the rapporteur and experts from relevant EMA committees and working groups;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provides a dedicated EMA contact person; and</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provides scientific advice at key development milestones, involving additional stakeholders, such as health technology assessment bodies and patients, as needed.</w:t>
      </w:r>
    </w:p>
    <w:p>
      <w:pPr>
        <w:spacing w:after="0" w:line="170"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Medicines that are selected for the PRIME scheme are also expected to benefit from the EMA’s accelerated assessment procedure at the time of application for marketing authorization. Where, during the course of development, a medicine no longer meets the eligibility criteria, support under the PRIME scheme may be withdrawn.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Development</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European Union, companies developing a new medicinal product must agree upon a Pediatric Investigation Plan, or PIP, with the EMA and must conduct pediatric clinical trials in accordance with that PIP, unless a waiver applies, (i.e., because the relevant disease or condition occurs only in adults). The marketing authorization application for the product must include the results of pediatric clinical trials conducted in accordance with the PIP unless a waiver applies or a deferral has been granted, in which case the pediatric clinical trials must be completed at a later date. Products that are granted a marketing authorization on the basis of the pediatric clinical trials conducted in accordance with the PIP are eligible for a six-month extension of the protection under a supplementary protection certificate (if any is in effect at the time of approval) or, in the case of orphan medicinal products, a two-year extension of the orphan market exclusivity. This pediatric reward is subject to specific conditions and is not automatically available when data in compliance with the PIP are developed and submitted.</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Data Protection in the European Union</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the European Union, new chemical entities approved on the basis of a complete independent data package qualify for eight years of data exclusivity upon grant of a marketing authorization and an additional two years of market exclusivity pursuant to Regulation (EC) No. 726/2004, as amended, and Directive 2001/83/EC, as amended. Data exclusivity prevents regulatory authorities in the European Union from referencing the innovator’s data to assess a generic (abbreviated) application for a period of eight years. During the additional two-year period of market exclusivity, a generic marketing authorization application can be submitted, and the innovator’s data may be referenced, but no generic medicinal product can be marketed until the expiration of the market exclusivity period. The overall 10-year period will be extended to a maximum of 11 years if, during the first eight years of those 10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an MAA with a complete independent data package of pharmaceutical tests, preclinical tests and clinical trials.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 marketing authorization is valid for five years, in principle, and it may be renewed after five years on the basis of a re-evaluation of the risk 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product on the EU market (in the case of the centralized procedure) or on the market of the authorizing member state within three years after authorization ceases to be valid.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Controlled Drugs Classification</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Ireland, 5-MeO-DMT is considered a Schedule 1 drug under the Misuse of Drugs Regulations 2017, as amended. Schedule 1 of the Misuse of Drugs Regulations 2017 lists those drugs to which the most restrictive controls apply: they are considered to have no legitimate or medicinal use and can only be imported, exported, produced, supplied and such like under a license issued by the Irish Health Products Regulatory Authority (HPRA), on behalf of the Department of Health. The position in the member states of the European Union is not harmonized. Member states have implemented the relevant UN Conventions (the Single Convention of Narcotic Drugs 1961 and the Convention on Psychotropic Substances 1971) into their national legislation, which has led to differences in how controlled substances are regulated in different countries of the European Union. It is therefore important to determine at a national level whether a substance is controlled and to comply with the applicable legal requirements. If we are successful in obtaining a marketing authorization in key EU member states, it is likely that rescheduling of 5-MeO-DMT will also be required to enable prescribing. There can be no guarantee that such rescheduling would be successful.</w:t>
      </w:r>
    </w:p>
    <w:p>
      <w:pPr>
        <w:spacing w:after="0" w:line="181"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In the United Kingdom, where part of our manufacturing process takes place, 5-MeO-DMT is considered a Class A drug under the Misuse of Drugs Act 1971, as amended, and as a Schedule 1 drug under the Misuse of Drugs Regulations 2001, as amended. Class A drugs are considered to be the most potentially harmful and have the highest level of control exerted over them under the Misuse of Drugs Act 1971. Similarly, Schedule 1 of the Misuse of Drugs Regulations 2001 lists those drugs to which the most restrictive controls apply: they are considered to have no legitimate or medicinal use and can only be imported, exported, produced and supplied under a license issued by the UK government’s Home Office. If and when it is granted a marketing authorization by the MHRA in respect of the United Kingdom, 5-MeO-DMT would still remain a Schedule 1 drug until rescheduled by the UK government’s Home Office. Unless and until 5-MeO-DMT is rescheduled under the Misuse of Drugs Regulations 2001, and unless a statutory exemption was to be passed for GH001, GH002 or GH003 following the grant of a UK marketing authorization and before rescheduling, any prescribing doctors in the United Kingdom would require a Home Office license to prescribe GH001, GH002 or GH003, and, similarly, any patients to whom GH001, GH002 or GH003 was prescribed would require a Home Office license to possess GH001, GH002 or GH003. There can be no guarantee that such Home Office licenses would be granted or that rescheduling would be successful.</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Requirements After Marketing Authorization</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Following approval, the holder of the marketing authorization is required to comply with a range of requirements applicable to the manufacturing, marketing, promotion and sale of the medicinal product.</w:t>
      </w:r>
    </w:p>
    <w:p>
      <w:pPr>
        <w:spacing w:after="0" w:line="170"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These include compliance with the European Union’s stringent pharmacovigilance or safety reporting rules, pursuant to which post-authorization studies and additional monitoring obligations can be imposed. 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 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w:t>
      </w:r>
    </w:p>
    <w:p>
      <w:pPr>
        <w:spacing w:after="0" w:line="188"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Furthermore, the manufacturing of authorized products, for which a separate manufacturer’s license is mandatory, must also be conducted in strict compliance with the EMA’s cGMP requirements and comparable requirements of other regulatory bodies in the European Union, which mandate the methods, facilities and controls used in manufacturing, processing and packing of products to assure their safety and identity.</w:t>
      </w:r>
    </w:p>
    <w:p>
      <w:pPr>
        <w:spacing w:after="0" w:line="165"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Finally, the marketing and promotion of authorized products, including industry-sponsored continuing medical education and advertising directed toward the prescribers of products, are strictly regulated in the European Union under Directive 2001/83/EC, as amended. The advertising of prescription-only medicines to the general public is not permitted in the European Union. Although general requirements for advertising and promotion of medicinal products are established under EU Directive 2001/83/EC, as amended, the details and enforcement are governed by regulations in each EU member state (as well as Iceland, Norway and Liechtenstein) and differ from one country to another.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the United States and markets in other countries, sales of any 5-MeO-DMT therapy for which we receive regulatory approval for commercial sale will depend, in part, on the availability of coverage and reimbursement for our products from third-party payors, such as government healthcare programs, such as Medicare and Medicaid, managed care providers, private health insurers, health maintenance organizations and other organizations. These third-party payors decide which medications they will pay for and will establish reimbursement levels. The availability of coverage and extent of reimbursement by governmental and other third-party payors is essential for most patients to be able to afford treatments such as novel therapies. In the United States, the principal decisions about reimbursement for new medicines are typically made by the Centers for Medicare &amp; Medicaid Services, or CMS. CMS decides whether and to what extent our products will be covered and reimbursed under Medicare and private payors tend to follow CMS to a substantial degree. Factors payors consider in determining reimbursement are based on whether the product is:</w:t>
      </w:r>
    </w:p>
    <w:p>
      <w:pPr>
        <w:spacing w:after="0" w:line="166"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3" w:name="page124"/>
    <w:bookmarkEnd w:id="1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ability to successfully commercialize our product candidates, whether as a single agent or combination therapy, will depend in part on the extent to which coverage and adequate reimbursement for our products and related treatments will be available from third-party payors. Moreover, a payor’s decision to provide coverage for a product does not imply that an adequate reimbursement rate will be approved. Even if coverage is provided, the approved reimbursement amount may not be high enough to allow us to establish or maintain price levels sufficient to realize an appropriate return on our investment in product development.</w:t>
      </w:r>
    </w:p>
    <w:p>
      <w:pPr>
        <w:spacing w:after="0" w:line="188"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No uniform policy for coverage and reimbursement for products exist among third-party payors in the United States.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medical product or service does not ensure that other payors will also provide coverage for the medical product or service or will provide coverage at an adequate reimbursement rate. Third-party payors may also limit coverage to specific products on an approved list, or formulary, which might not include all of the FDA-approved products for a particular indication.</w:t>
      </w:r>
    </w:p>
    <w:p>
      <w:pPr>
        <w:spacing w:after="0" w:line="178"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A decision by a third-party payor not to cover or not to separately reimburse for our medical products or therapies using our products could reduce physician utilization of our products once approved and have a material adverse effect on our sales, results of operations and financial condition. If there is coverage for our product candidates, or therapies using our product candidates by a third-party payor, the resulting reimbursement payment rates may not be adequate or may require co-payments that patients find unacceptably high. We cannot be sure that coverage and reimbursement in the United States will be available for our current or future product candidates, or for any procedures using such product candidates, and any reimbursement that may become available may not be adequate or may be decreased or eliminated in the future. Further, if we or our collaborators develop therapies for use with our product candidates, we, or our collaborators, will be required to obtain coverage and reimbursement for these therapies separate and apart from the coverage and reimbursement we seek for our product candidates, once approved.</w:t>
      </w:r>
    </w:p>
    <w:p>
      <w:pPr>
        <w:spacing w:after="0" w:line="165"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Further, third-party payors are increasingly challenging the price and examining the medical necessity and cost-effectiveness of medical products and services, in addition to their safety and efficacy. In order to secure coverage and reimbursement for any product candidate that might be approved for sale, we may need to conduct expensive pharmacoeconomic studies in order to demonstrate the medical necessity and cost-effectiveness of such product, in addition to the costs required to obtain FDA or comparable regulatory approvals. Additionally, we may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A decision by a third-party payor not to cover a product could reduce physician utilization once the product is approved and have a material adverse effect on sales, our operations and financial condition. We expect to experience pricing pressures from third-party payors in connection with the potential sale of any of our product candidates.</w:t>
      </w:r>
    </w:p>
    <w:p>
      <w:pPr>
        <w:spacing w:after="0" w:line="185"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Lastly, in some foreign countries, the proposed pricing for a drug and its reimbursement status must be approved before it may be lawfully marketed. The requirements governing drug pricing vary widely from country to country. For example, in the European Union, pricing and reimbursement schemes are determined by each member state. Some EU member states provide that products may be marketed only after a reimbursement price has been agreed. Some EU member states may require the completion of additional studies that compare the cost effectiveness of a particular product candidate to currently available therapies (so-called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 member states may approve a specific price for a product or may instead adopt a system of direct or indirect controls on the profitability of the company placing the product on the market. Approaches between EU member states are diverging. For example, in France, effective market access will be supported by agreements with hospitals and products may be reimbursed by the Social Security Fund. The United Kingdom, on the other hand, operates a system for innovator medicines of direct or indirect controls on the profitability of the company placing the medicinal product on the market. The price of medicines is negotiated with the Economic Committee for Health Products, or CEPS. There can be no assurance that any country that has price controls or reimbursement limitations for pharmaceutical products will allow favorable reimbursement and pricing arrangements for any of our product candidates. Other EU member states allow companies to fix their own prices for products but monitor and control prescription volumes and issue guidance to physicians to limit prescriptions. Recently, many countries in the European Union have increased the level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(arbitrage between low-priced and high-priced member states) can further reduce prices. Acceptance of any medicinal product for reimbursement may come with cost, use and often volume restrictions, which again can vary by country. In addition, results-based rules of reimbursement may apply. There can be no assurance that any country that has price controls or reimbursement limitations for pharmaceutical products will allow favorable reimbursement and pricing arrangements for any of our products, if approved in those countries. Historically, products launched in the European Union do not follow price structures of the United States and generally prices tend to be significantly lower.</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Notwithstanding any of the above, as a Schedule I substance under the CSA, 5-MeO-DMT is currently deemed to have no accepted medical use and therapies that use 5-MeO-DMT are currently precluded from reimbursement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Healthcare providers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federal and state fraud and abuse laws, as well as other healthcare laws and regulations. These laws may impact, among other things, our business or financial arrangements and relationships through which we research, as well as market, sell and distribute the product candidates for which we obtain approval. In addition, we may be subject to health information privacy regulation by both the federal government and the United States in which we conduct our business. In the United States, the laws that may affect our ability to operate include, among others:</w:t>
      </w:r>
    </w:p>
    <w:p>
      <w:pPr>
        <w:spacing w:after="0" w:line="164" w:lineRule="exact"/>
        <w:rPr>
          <w:sz w:val="20"/>
          <w:szCs w:val="20"/>
          <w:color w:val="auto"/>
        </w:rPr>
      </w:pPr>
    </w:p>
    <w:p>
      <w:pPr>
        <w:ind w:left="660" w:hanging="328"/>
        <w:spacing w:after="0" w:line="269"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arrangement or recommendation of any good, facility, item or service for which payment may be made, in whole or in part, under a federal healthcare program, such as Medicare and Medicaid. The term “remuneration” has been interpreted broadly to include anything of value. Further, courts have found that if “one purpose” of remuneration is to induce referrals, the federal Anti-Kickback Statute is violated. The federal Anti-Kickback Statute has been interpreted to apply to arrangements between manufacturers on one hand and prescribers, purchasers and formulary managers on the other.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FCA or federal civil money penalties statute. There are a number of statutory exceptions and regulatory safe harbors protecting some common activities from prosecution, but the exceptions and safe harbors are drawn narrowly and require strict compliance in order to offer protection;</w:t>
      </w:r>
    </w:p>
    <w:p>
      <w:pPr>
        <w:spacing w:after="0" w:line="178" w:lineRule="exact"/>
        <w:rPr>
          <w:rFonts w:ascii="Arial" w:cs="Arial" w:eastAsia="Arial" w:hAnsi="Arial"/>
          <w:sz w:val="17"/>
          <w:szCs w:val="17"/>
          <w:color w:val="auto"/>
        </w:rPr>
      </w:pPr>
    </w:p>
    <w:p>
      <w:pPr>
        <w:ind w:left="660" w:hanging="328"/>
        <w:spacing w:after="0" w:line="289"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federal civil and criminal false claims laws, such as the FCA, which prohibit, among other things, individuals or entities from knowingly presenting, or causing to be presented, claims for payment or approval from Medicare, Medicaid or other third-party payors, that are false, fictitious or fraudulent; from knowingly making, using or causing to be made or used, a false statement or record material to a false or fraudulent claim or obligation to pay or transmit property to the federal government; or from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qui tam actions on behalf of the federal government alleging violations of the FCA and to share in any monetary recovery. When an entity is determined to have violated the FCA, the government may impose civil fines and penalties for each false claim, plus treble damages, and exclude the entity from participation in Medicare, Medicaid and other federal healthcare programs;</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5" w:name="page126"/>
    <w:bookmarkEnd w:id="1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line="279"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federal civil monetary penalties laws, which impose civil fines for, among other things, the offering or transferring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provider, practitioner or supplier of items or services reimbursable by a federal or state healthcare program;</w:t>
      </w:r>
    </w:p>
    <w:p>
      <w:pPr>
        <w:spacing w:after="0" w:line="171" w:lineRule="exact"/>
        <w:rPr>
          <w:rFonts w:ascii="Arial" w:cs="Arial" w:eastAsia="Arial" w:hAnsi="Arial"/>
          <w:sz w:val="17"/>
          <w:szCs w:val="17"/>
          <w:color w:val="auto"/>
        </w:rPr>
      </w:pPr>
    </w:p>
    <w:p>
      <w:pPr>
        <w:ind w:left="660" w:right="140" w:hanging="328"/>
        <w:spacing w:after="0" w:line="291"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additional federal criminal liability for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(i.e.,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166" w:lineRule="exact"/>
        <w:rPr>
          <w:rFonts w:ascii="Arial" w:cs="Arial" w:eastAsia="Arial" w:hAnsi="Arial"/>
          <w:sz w:val="16"/>
          <w:szCs w:val="16"/>
          <w:color w:val="auto"/>
        </w:rPr>
      </w:pPr>
    </w:p>
    <w:p>
      <w:pPr>
        <w:ind w:left="660" w:right="140" w:hanging="328"/>
        <w:spacing w:after="0" w:line="270"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its respective implementing regulations, which imposes, among other things, certain requirements on covered entities, including certain covered healthcare providers, health plans and healthcare clearinghouses and their respective business associates relating to the privacy, security and transmission of individually identifiable health information as well as their covered subcontractors. Among other things, HITECH makes HIPAA’s privacy and security standards directly applicable to business associates, those independent contractors or agents of covered entities that create, receive, maintain, transmit or obtain protected health information in connection with providing a service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80" w:lineRule="exact"/>
        <w:rPr>
          <w:rFonts w:ascii="Arial" w:cs="Arial" w:eastAsia="Arial" w:hAnsi="Arial"/>
          <w:sz w:val="17"/>
          <w:szCs w:val="17"/>
          <w:color w:val="auto"/>
        </w:rPr>
      </w:pPr>
    </w:p>
    <w:p>
      <w:pPr>
        <w:ind w:left="660" w:right="200" w:hanging="328"/>
        <w:spacing w:after="0" w:line="290"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federal Physician Payment Sunshine Act, created under the Patient Protection and Affordable Care Act, as amended by the Health Care and Education Reconciliation Act, collectively, the Affordable Care Act, or the ACA, which requires applicable manufacturers of drugs, devices, biologics and medical supplies for which payment is available under Medicare, Medicaid or the Children’s Health Insurance Program to report annually to the U.S. Department of Health and Human Services, or HHS,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 Effective January 1, 2022, these reporting obligations now extend to include transfers of value made during the previous year to physician assistants, nurse practitioners, clinical nurse specialists, anesthesiologist assistants, certified registered nurse anesthetists and certified nurse midwives;</w:t>
      </w:r>
    </w:p>
    <w:p>
      <w:pPr>
        <w:spacing w:after="0" w:line="165" w:lineRule="exact"/>
        <w:rPr>
          <w:rFonts w:ascii="Arial" w:cs="Arial" w:eastAsia="Arial" w:hAnsi="Arial"/>
          <w:sz w:val="16"/>
          <w:szCs w:val="16"/>
          <w:color w:val="auto"/>
        </w:rPr>
      </w:pPr>
    </w:p>
    <w:p>
      <w:pPr>
        <w:ind w:left="660" w:right="30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70" w:lineRule="exact"/>
        <w:rPr>
          <w:rFonts w:ascii="Arial" w:cs="Arial" w:eastAsia="Arial" w:hAnsi="Arial"/>
          <w:sz w:val="18"/>
          <w:szCs w:val="18"/>
          <w:color w:val="auto"/>
        </w:rPr>
      </w:pPr>
    </w:p>
    <w:p>
      <w:pPr>
        <w:ind w:left="660" w:right="40" w:hanging="328"/>
        <w:spacing w:after="0" w:line="269"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Analogous state and foreign equivalents of each of the healthcare laws and regulations described above, such as anti-kickback and false claims laws, which may apply to items or services reimbursed by any third-party payor, including commercial insurers or patients; state and local marketing and/or transparency laws applicable to manufacturers that may be broader in scope than the federal requirements; state laws that require pharmaceutical companies to comply with the pharmaceutical industry voluntary compliance guidelines and other relevant compliance guidance promulgated by the federal government, such as the April 2003 Office of Inspector General Compliance Program Guidance for Pharmaceutical Manufacturers and/or the Pharmaceutical Research and Manufacturers of America’s Code on Interactions with Healthcare Professionals; state laws that require the reporting of information related to drug pricing; state laws that require drug manufacturers to report information related to payments and other transfers of value to physicians and other healthcare providers or marketing expenditures and pricing information; state and local laws that require the licensure and/or registration of pharmaceutical sales representatives; and state and foreign laws governing the privacy and security of health information that may be more stringent than those in the United States (such as the European Union, which adopted the GDPR, or the United Kingdom, which adopted the UK GDPR), many of which differ from each other in significant ways and often are not preempted by HIPAA, thus complicating compliance efforts.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 keeping, licensing, storage and security requirements intended to prevent the unauthorized sale of pharmaceutical products.</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full scope and enforcement of each of these laws is uncertain and subject to rapid change in the current environment of healthcare reform. Federal and state enforcement bodies have continued to increase their scrutiny on interactions between healthcare companies and healthcare providers, which has led to a number of significant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including our arrangements with physicians and other healthcare providers and entities, such as our Centers of Excellence or therapists, are found to be in violation of any of such laws or any other governmental regulations that apply to us, we may be subject to significant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(such as Medicare and Medicaid), imprisonment and additional oversight and reporting obligations if we become subject to a corporate integrity agreement or similar settlement to resolve allegations of non-compliance with these laws and the curtailment or restructuring of our operations, any of which could adversely affect our ability to operate our business and our financial results. If any of the physicians or other healthcare providers or entities with whom we expect to do business, including our Centers of Excellence and therapists, are found to be not in compliance with applicable laws, they may be subject to similar actions, penalties and sanctions.</w:t>
      </w:r>
    </w:p>
    <w:p>
      <w:pPr>
        <w:spacing w:after="0" w:line="174"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Ensuring that our current and future business arrangements with third parties, and our business generally, comply with applicable healthcare laws and regulations, as well as responding to possible investigations by government authorities, can be time- and resource-consuming and can divert a company’s attention from its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 outside the United States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Outside of the United States, individual countries impose a variety of anti-corruption laws, most notable of which is the UK Bribery Act 2010 because of its apparent extra-territorial effect. Within the European Union, most member states our operations will be subject to anti-corruption laws. There is a heightened risk both from application of the FCPA and from national laws in many European and other countries because many of their healthcare professionals are categorized government officials. These laws will impose a variety of strictures on our business which are time consuming and expensive, including limiting engagements with healthcare professionals, the requirement to obtain prior authorizations for promotional activities from employers and/ or government or industry bodies, and the requirement to supply transparency information regarding the interactions. Failure to comply with these laws is potentially very costly and can lead to reputational damage, fines, penalties and imprisonment as well as investigations and additional oversight of our business activities.</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7" w:name="page128"/>
    <w:bookmarkEnd w:id="1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the Use, Processing and Cross-border Transfer of Personal Information</w:t>
      </w:r>
    </w:p>
    <w:p>
      <w:pPr>
        <w:spacing w:after="0" w:line="225"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In the event we decide to conduct future clinical trials in Europe, the United States or other jurisdictions, we may be subject to additional privacy and data protection requirements and restrictions. The collection, use, storage, disclosure, transfer or other processing of personal data regarding individuals in the European Economic Area, including personal health data, is subject to EU and national level data protection and privacy laws including, most notably, the GDPR, which became effective on May 25, 2018. The GDPR is wide-ranging in scope and imposes numerous requirements on entities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that will have access to personal data. The GDPR also imposes strict rules on the transfer of personal data to countries outside the European Economic Area, including the United States and the United Kingdom. Entities that fail to comply with the requirements of the GDPR may be subject to very significant penalties, including potential fines of up to the greater of €20 million or 4% of annual global revenue, and up to the greater of GBP 17.5 million or 4% of annual global revenue in the case of noncompliance with the UK GDPR.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The United Kingdom has legislation equivalent to GDPR, and while the European Commission recently issued an adequacy decision enabling data transfers from EU member states to the United Kingdom to continue without requiring organizations to put in place contractual or other measures in order to lawfully transfer personal data between the territories, it remains unclear how data transfers to and from the United Kingdom will be regulated in the long term. Compliance with the GDPR and the UK GDPR will be a rigorous, costly and time-intensive process that may increase our cost of doing business or require us to change our business practices, and despite those efforts, there is a risk that we may be subject to fines and penalties, litigation and reputational harm in connection with our European personal data processing activities.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the United States, numerous federal and state laws and regulations, including state data breach notification laws, state health and personal information privacy laws, and federal and state consumer protection laws, govern the collection, use, processing, storage, transmission, disclosure, destruction and protection of health-related and other personal information. For example, the California Consumer Privacy Act of 2018, or CCPA, became effective on January 1, 2020 and creates new individual privacy rights for California consumers and places increased privacy and security obligations on entities handling certain personal data of California consumers. The CCPA requires companies subject to the legislation to provide new disclosure to consumers about such companies’ data collection, use and sharing practices and provide such consumers new ways to opt-out of certain sales or transfers of personal information. The CCPA provides for civil penalties as well as a private right of action for certain data breaches that result in the loss of personal information. This private right of action may increase the likelihood of, and risks associated with, data breach litigation. In addition, California voters recently approved the California Privacy Rights Act of 2020, or CPRA, which goes into effect on January 1, 2023. It is expected that the CPRA would, among other things, give California residents the ability to limit the use of their personal information, further restrict the use of cross-contextual advertising, establish restrictions on the retention of personal information, expand the types of data breaches subject to the CCPA’s private right of action and establish a new California Privacy Protection Agency to implement and enforce the CCPA and CPRA. Other states and the U.S. federal government are considering comprehensive privacy laws, and on March 2, 2021, the Virginia Consumer Data Protection Act, or CDPA, was signed into law and will go into effect on January 1, 2023. Moreover, laws in all 50 U.S. states require businesses to provide notice to consumers whose personal information has been disclosed as a result of a data breach.</w:t>
      </w:r>
    </w:p>
    <w:p>
      <w:pPr>
        <w:spacing w:after="0" w:line="18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regulatory framework for data privacy and security issues in the United States and abroad is rapidly evolving and likely to remain uncertain for the foreseeable future. Compliance with applicable U.S. and foreign privacy and data protection laws and regulations is a rigorous and time-intensive process and could require us to take on more onerous obligations in our contracts, restrict our ability to collect, use and disclose certain data, or in some cases, impact our ability to operate in certain jurisdictions.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The U.S. government, state legislatures and foreign governments have shown significant interest in implementing cost containment programs to limit the growth of government-paid healthcare costs, including price controls, restrictions on reimbursement and requirements for substitution of generic products for branded prescription drugs. Healthcare reforms that have been adopted, and that may be adopted in the future, could result in further reductions in coverage and levels of reimbursement for pharmaceutical products, increases in rebates payable under U.S. government rebate programs and additional downward pressure on pharmaceutical product prices. On September 9, 2021, the Biden administration published a wide-ranging list of policy proposals, most of which would need to be carried out by Congress, to reduce drug prices and drug payment. The Department of Health and Human Services, or HHS, plan includes, among other reform measures, proposals to lower prescription drug prices, including by allowing Medicare to negotiate prices and disincentivizing price increases, and to support market changes that strengthen supply chains, promote biosimilars and generic drugs, and increase price transparency. Many similar proposals, including the plans to give Medicare Part D authority to negotiate drug prices, require drug manufacturers to pay rebates on drugs whose prices increase greater than the rate of inflation, and cap out-of-pocket costs, have already been included in policy statements and legislation currently being considered by Congress. It is unclear to what extent these and other statutory, regulatory, and administrative initiatives will be enacted and implemented.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As of December 31, 2021, we had fourteen employees. Of our workforce, nine full-time equivalent employees are directly engaged in research and development with the rest providing administrative, business and operations support.</w:t>
      </w:r>
    </w:p>
    <w:p>
      <w:pPr>
        <w:spacing w:after="0" w:line="170" w:lineRule="exact"/>
        <w:rPr>
          <w:sz w:val="20"/>
          <w:szCs w:val="20"/>
          <w:color w:val="auto"/>
        </w:rPr>
      </w:pPr>
    </w:p>
    <w:p>
      <w:pPr>
        <w:ind w:right="520" w:firstLine="324"/>
        <w:spacing w:after="0" w:line="263" w:lineRule="auto"/>
        <w:rPr>
          <w:sz w:val="20"/>
          <w:szCs w:val="20"/>
          <w:color w:val="auto"/>
        </w:rPr>
      </w:pPr>
      <w:r>
        <w:rPr>
          <w:rFonts w:ascii="Arial" w:cs="Arial" w:eastAsia="Arial" w:hAnsi="Arial"/>
          <w:sz w:val="18"/>
          <w:szCs w:val="18"/>
          <w:color w:val="auto"/>
        </w:rPr>
        <w:t>None of our employees are represented by labor unions or covered by collective bargaining agreements. We have not experienced any employee litigation or claims and consider our employee relations to be good. We regularly discuss with our whole team to obtain feedback and ideas for improvement.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Organizational Structure</w:t>
      </w:r>
    </w:p>
    <w:p>
      <w:pPr>
        <w:spacing w:after="0" w:line="229"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As of December 31, 2021, we had one subsidiary. The following table sets out for our principal subsidiary, the country of incorporation, and the percentage ownership and voting interest held by us.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Percentage Ownership and</w:t>
            </w:r>
          </w:p>
        </w:tc>
        <w:tc>
          <w:tcPr>
            <w:tcW w:w="2480" w:type="dxa"/>
            <w:vAlign w:val="bottom"/>
          </w:tcPr>
          <w:p>
            <w:pPr>
              <w:spacing w:after="0"/>
              <w:rPr>
                <w:sz w:val="18"/>
                <w:szCs w:val="18"/>
                <w:color w:val="auto"/>
              </w:rPr>
            </w:pPr>
          </w:p>
        </w:tc>
      </w:tr>
      <w:tr>
        <w:trPr>
          <w:trHeight w:val="241"/>
        </w:trPr>
        <w:tc>
          <w:tcPr>
            <w:tcW w:w="2920" w:type="dxa"/>
            <w:vAlign w:val="bottom"/>
            <w:gridSpan w:val="2"/>
          </w:tcPr>
          <w:p>
            <w:pPr>
              <w:ind w:left="1040"/>
              <w:spacing w:after="0"/>
              <w:rPr>
                <w:sz w:val="20"/>
                <w:szCs w:val="20"/>
                <w:color w:val="auto"/>
              </w:rPr>
            </w:pPr>
            <w:r>
              <w:rPr>
                <w:rFonts w:ascii="Arial" w:cs="Arial" w:eastAsia="Arial" w:hAnsi="Arial"/>
                <w:sz w:val="18"/>
                <w:szCs w:val="18"/>
                <w:b w:val="1"/>
                <w:bCs w:val="1"/>
                <w:color w:val="auto"/>
              </w:rPr>
              <w:t>Company</w:t>
            </w: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Country of Incorporation</w:t>
            </w: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Voting Interest</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Main Activities</w:t>
            </w:r>
          </w:p>
        </w:tc>
      </w:tr>
      <w:tr>
        <w:trPr>
          <w:trHeight w:val="202"/>
        </w:trPr>
        <w:tc>
          <w:tcPr>
            <w:tcW w:w="2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Clinical operations and research</w:t>
            </w: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GH Research Ireland Limited</w:t>
            </w: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Ireland</w:t>
            </w: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and development</w:t>
            </w:r>
          </w:p>
        </w:tc>
      </w:tr>
    </w:tbl>
    <w:p>
      <w:pPr>
        <w:spacing w:after="0" w:line="198" w:lineRule="exact"/>
        <w:rPr>
          <w:sz w:val="20"/>
          <w:szCs w:val="20"/>
          <w:color w:val="auto"/>
        </w:rPr>
      </w:pPr>
    </w:p>
    <w:p>
      <w:pPr>
        <w:ind w:right="8440" w:firstLine="8"/>
        <w:spacing w:after="0" w:line="503" w:lineRule="auto"/>
        <w:tabs>
          <w:tab w:leader="none" w:pos="31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Plants and Equipment Facilities</w:t>
      </w:r>
    </w:p>
    <w:p>
      <w:pPr>
        <w:ind w:right="80" w:firstLine="324"/>
        <w:spacing w:after="0" w:line="342" w:lineRule="auto"/>
        <w:rPr>
          <w:sz w:val="20"/>
          <w:szCs w:val="20"/>
          <w:color w:val="auto"/>
        </w:rPr>
      </w:pPr>
      <w:r>
        <w:rPr>
          <w:rFonts w:ascii="Arial" w:cs="Arial" w:eastAsia="Arial" w:hAnsi="Arial"/>
          <w:sz w:val="16"/>
          <w:szCs w:val="16"/>
          <w:color w:val="auto"/>
        </w:rPr>
        <w:t>We lease a facility of 106 square meters of office space, located at 28 Baggot Street lower, Dublin 2, Ireland. We believe our facilities are adequate for our current needs, including our short-term needs, and that suitable additional or substitute space would be available in Dublin, if needed.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not aware of any environmental issues or other constraints that would materially impact the intended use of our facility.</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22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You should read the following discussion and analysis of our financial condition and results of operations together with our audited consolidated financial statements, including the notes thereto, included in this Annual Report.</w:t>
      </w:r>
    </w:p>
    <w:p>
      <w:pPr>
        <w:spacing w:after="0" w:line="170" w:lineRule="exact"/>
        <w:rPr>
          <w:sz w:val="20"/>
          <w:szCs w:val="20"/>
          <w:color w:val="auto"/>
        </w:rPr>
      </w:pPr>
    </w:p>
    <w:p>
      <w:pPr>
        <w:ind w:right="240" w:firstLine="324"/>
        <w:spacing w:after="0" w:line="275" w:lineRule="auto"/>
        <w:rPr>
          <w:sz w:val="20"/>
          <w:szCs w:val="20"/>
          <w:color w:val="auto"/>
        </w:rPr>
      </w:pPr>
      <w:r>
        <w:rPr>
          <w:rFonts w:ascii="Arial" w:cs="Arial" w:eastAsia="Arial" w:hAnsi="Arial"/>
          <w:sz w:val="17"/>
          <w:szCs w:val="17"/>
          <w:color w:val="auto"/>
        </w:rPr>
        <w:t>Our audited consolidated financial statements were prepared in accordance with IFRS. None of our financial statements was prepared in accordance with U.S. GAAP. Some of the information contained in this discussion and analysis, including information with respect to our plans and strategy for our business and our expectations with respect to liquidity and capital resources, includes forward-looking statements. These forward-looking statements are subject to numerous risks and uncertainties, including, but not limited to, those risks and uncertainties described in “Cautionary Statement Regarding Forward-Looking Statements,” “Item 3. Key Information—D. Risk Factors” and elsewhere in this Annual Report.</w:t>
      </w:r>
    </w:p>
    <w:p>
      <w:pPr>
        <w:spacing w:after="0" w:line="176"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On March 29, 2021, GH Research PLC was incorporated under the laws of Ireland to become the ultimate holding company for GH Research Ireland Limited pursuant to the Corporate Reorganization. Prior to our initial public offering, GH Research PLC had only engaged in activities incidental to its formation, the Corporate Reorganization and our initial public offering. The financial information presented prior to the incorporation of GH Research PLC, including the comparative financial information for the years ended December 31, 2020 and 2019, relate solely to GH Research Ireland Limited.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For a discussion of our statements of operations for the years ended December 31, 2020 and 2019 and our cash flows for the year ended December 31, 2019, see the section “Management’s Discussion and Analysis of Financial Condition and Results of Operations” in our Registration Statement on Form F-1 (File No. 333-256796) filed with the SEC on June 4, 2021.</w:t>
      </w:r>
    </w:p>
    <w:p>
      <w:pPr>
        <w:spacing w:after="0" w:line="180" w:lineRule="exact"/>
        <w:rPr>
          <w:sz w:val="20"/>
          <w:szCs w:val="20"/>
          <w:color w:val="auto"/>
        </w:rPr>
      </w:pPr>
    </w:p>
    <w:p>
      <w:pPr>
        <w:ind w:right="9500" w:firstLine="8"/>
        <w:spacing w:after="0" w:line="503" w:lineRule="auto"/>
        <w:tabs>
          <w:tab w:leader="none" w:pos="324"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 Overview</w:t>
      </w:r>
    </w:p>
    <w:p>
      <w:pPr>
        <w:ind w:right="40" w:firstLine="324"/>
        <w:spacing w:after="0" w:line="287" w:lineRule="auto"/>
        <w:rPr>
          <w:sz w:val="20"/>
          <w:szCs w:val="20"/>
          <w:color w:val="auto"/>
        </w:rPr>
      </w:pPr>
      <w:r>
        <w:rPr>
          <w:rFonts w:ascii="Arial" w:cs="Arial" w:eastAsia="Arial" w:hAnsi="Arial"/>
          <w:sz w:val="16"/>
          <w:szCs w:val="16"/>
          <w:color w:val="auto"/>
        </w:rPr>
        <w:t>We are a clinical-stage biopharmaceutical company dedicated to transforming the treatment of psychiatric and neurological disorders. Our initial focus is on developing our novel and proprietary 5-Methoxy-N,N-Dimethyltryptamine, or 5-MeO-DMT, therapies for the treatment of patients with Treatment-Resistant Depression, or TRD. Our portfolio currently includes GH001, our proprietary inhalable 5-MeO-DMT product candidate which is delivered via a vaporization device produced by a third party, and GH002, our proprietary injectable 5-MeO-DMT product candidate, and GH003, our proprietary intranasal 5-MeO-DMT product candidate. We have completed two Phase 1 healthy volunteer clinical trials (GH001-HV-101 and GH001-HV-103), in which administration of GH001 via inhalation was observed to be well tolerated at the investigated single dose levels and in an individualized dosing regimen with intra-subject dose escalation within a single day. We have also completed a Phase 1/2 clinical trial in patients with TRD (GH001-TRD-102). Based on observed clinical activity in the Phase 1 part of the clinical trial, we believe that administration of a single dose of GH001 has the potential to induce ultra-rapid remissions as measured by the Montgomery-Åsberg Depression Rating Scale, or MADRS, in certain patients, driven by the ultra-rapid onset of psychoactive effects (commonly within seconds) and an intense and short-lived (commonly five to 30 minutes) initial psychoactive experience. Based on observed clinical activity in the Phase 2 part of the trial, we believe that administration of an individualized dosing regimen with intra-subject dose escalation within a single day can further increase the MADRS remission rate as compared to a single dose of GH001.</w:t>
      </w:r>
    </w:p>
    <w:p>
      <w:pPr>
        <w:spacing w:after="0" w:line="16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incurred recurring operating losses since inception, including net losses of $310 thousand, $446 thousand and $9.2 million for the years ended December 31, 2019, 2020 and 2021 respectively. As of December 31, 2021, we had an accumulated deficit of $10 million, compared to an accumulated deficit as of December 31, 2020 of $835 thousand. We expect to incur significant expenses and operating losses for the foreseeable future as we expand our research and development activities. In addition, our losses from operations may fluctuate significantly from quarter-to-quarter and year-to-year, depending on the timing of our clinical trials, our expenditures on other research and development activities and based on foreign currency translation differences. We anticipate that our expenses will increase significantly in connection with our ongoing activities, as we:</w:t>
      </w:r>
    </w:p>
    <w:p>
      <w:pPr>
        <w:spacing w:after="0" w:line="178" w:lineRule="exact"/>
        <w:rPr>
          <w:sz w:val="20"/>
          <w:szCs w:val="20"/>
          <w:color w:val="auto"/>
        </w:rPr>
      </w:pPr>
    </w:p>
    <w:p>
      <w:pPr>
        <w:ind w:left="660" w:right="180" w:hanging="328"/>
        <w:spacing w:after="0" w:line="263"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continue to develop and conduct clinical trials, including in expanded geographies such as the United States, for GH001, our inhalable 5-MeO-DMT product candidate, GH002, our injectable 5-MeO-DMT product candidate, and GH003, our intranasal 5-MeO-DMT product candidate for our initial indications and additional potential indications;</w:t>
      </w:r>
    </w:p>
    <w:p>
      <w:pPr>
        <w:spacing w:after="0" w:line="183"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continue both the technical development and expansion of our external manufacturing capabilities for our current product candidates GH001, GH002 and GH003 and of the medical devices required to deliver these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initiate and continue research and development, including nonclinical, clinical, and discovery efforts for any future product candidates;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seek to identify additional product candidates;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GH001, GH002 and GH003 including the medical devices required to deliver these product candidates, or any other product candidates that successfully complete clinical development;</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candidate and device development and help us comply with our obligations as a public company;</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0" w:name="page131"/>
    <w:bookmarkEnd w:id="1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hire and retain additional personnel, such as clinical, quality control, scientific, commercial, sales, marketing and administrative personnel;</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continue to prepare, file, prosecute, maintain, protect and enforce our intellectual property rights and claims;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establish sales, marketing, distribution, manufacturing, supply chain and other commercial infrastructure in the future to commercialize various products for which we may obtain regulatory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comply with ongoing regulatory requirements for products approved for commercial sale, if ever;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acquire or in-license other product candidates, medical devices to deliver our product candidates, and other technologies;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incur increased costs as a result of operating as a public company.</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addition, as we progress toward marketing approval for any of our product candidates, we expect to incur significant commercialization expenses related to product manufacturing, marketing, sales, and distribution.</w:t>
      </w:r>
    </w:p>
    <w:p>
      <w:pPr>
        <w:spacing w:after="0" w:line="17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cannot be certain that additional funding will be available on acceptable terms, or at all. If we fail to raise capital or enter into such agreements as, and when, needed, we may have to significantly delay, scale back, or discontinue the development and commercialization of one or more of our product candidates or other research and development initiatives, which could have a material adverse effect on our business, results of operations, and financial condition. We will need to generate significant revenue to achieve profitability, and we may never do so.</w:t>
      </w:r>
    </w:p>
    <w:p>
      <w:pPr>
        <w:spacing w:after="0" w:line="195" w:lineRule="exact"/>
        <w:rPr>
          <w:sz w:val="20"/>
          <w:szCs w:val="20"/>
          <w:color w:val="auto"/>
        </w:rPr>
      </w:pPr>
    </w:p>
    <w:p>
      <w:pPr>
        <w:jc w:val="both"/>
        <w:ind w:right="340" w:firstLine="324"/>
        <w:spacing w:after="0" w:line="259" w:lineRule="auto"/>
        <w:rPr>
          <w:sz w:val="20"/>
          <w:szCs w:val="20"/>
          <w:color w:val="auto"/>
        </w:rPr>
      </w:pPr>
      <w:r>
        <w:rPr>
          <w:rFonts w:ascii="Arial" w:cs="Arial" w:eastAsia="Arial" w:hAnsi="Arial"/>
          <w:sz w:val="18"/>
          <w:szCs w:val="18"/>
          <w:color w:val="auto"/>
        </w:rPr>
        <w:t>We are subject to a number of risks comparable to those of other similar companies, including dependence on key individuals; the need to develop product candidates with the required safety and efficacy profile and which support regulatory approval and are commercially viable; competition from other companies, many of which are larger and better capitalized; and the need to obtain adequate additional financing to fund the development of our product candidates.</w:t>
      </w:r>
    </w:p>
    <w:p>
      <w:pPr>
        <w:spacing w:after="0" w:line="18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As of December 31, 2021, we had cash of $276.8 million. We believe that our existing cash will be sufficient for us to fund our operating expenses and capital expenditure requirements for at least the next 12 months. We have based this estimate on assumptions that may prove to be wrong, and we could exhaust our available capital resources sooner than we expect. See “—B. Liquidity and Capital Resources”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Effective on September 24, 2021, Dermot Hanley and Dr. Duncan Moore were appointed to our board of directors as non-executive directors. Additionally, they were appointed to our audit committee. On March 27, 2022, Spike Loy resigned from our board of directors. Mr. Loy served as a member of our board of directors since November 2020 and served on our nominating and corporate governance and remuneration committees since their formation. Mr. Loy’s decision to resign did not arise or result from any disagreement with the Company on any matter relating to the Company’s operations, policies or practices.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GH001 for the treatment of TRD</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plan to submit clinical trial applications in several European countries for a multi-center, randomized, controlled Phase 2b trial of GH001 in TRD (GH001-TRD-201) in the third quarter of 2022.</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1" w:name="page132"/>
    <w:bookmarkEnd w:id="1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GH001 for the treatment of additional disorders</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have recently submitted clinical trial applications in a first European country for a Phase 2a proof-of-concept clinical trial of GH001 for the treatment of patients with bipolar II disorder and a current depressive episode (GH001-BD-202) and for a Phase 2a proof-of-concept clinical trial of GH001 for the treatment of patients with postpartum depression (GH001-PPD-203). We expect to submit further clinical trial applications for these trials in additional European countries. Pending regulatory clearance, we expect to initiate these trials in the third quarter of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GH001 in healthy volunteers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now have the final safety results of our Phase 1 clinical pharmacology trial in healthy volunteers (GH001-HV-103) and the data continue to support the safety profile of GH001 single doses and the proprietary GH001 IDR. Results from pharmacokinetic analyses were aligned with the ultra-rapid onset and short duration of observed psychoactive effects. Results of cognitive function tests as well as psychoactive effect assessments were aligned with results of previous trials. The full results of the trial support that an interval down to one hour between individual doses of the IDR is feasible for use in future clinical trials.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GH001 regulatory interactions</w:t>
      </w:r>
    </w:p>
    <w:p>
      <w:pPr>
        <w:spacing w:after="0" w:line="22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have recently submitted a request for a pre-IND meeting with the FDA to discuss our planned filing of a U.S. IND for GH001 in TRD. The meeting has been granted by the FDA for the second quarter of 2022. The proposed IND-opening study is a Phase 1 imaging study in patients with TRD designed to further elucidate the mechanism of action of GH001 (GH001-TRD-104). There are no current plans for additional regulatory meetings with other agencies.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We have recently filed a number of new patent applications, which have not yet been published, that relate to further aspects of 5-MeO-DMT use in a therapeutic context, including novel manufacturing methods of 5-MeO-DMT, novel salt forms of 5-MeO-DMT and novel uses of 5-MeO-DMT.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With the global spread of the COVID-19 pandemic ongoing, we have followed guidance issued by national and local governments to address and mitigate the impact of the COVID-19 pandemic on our employees and our business, including our nonclinical studies and clinical trials. We are focused on the health and safety of our employees, and have, among other things, implemented a work-from-home policy and eliminated non-essential business travel. While we are experiencing limited financial impacts at this time, the extent of the impact of the COVID-19 pandemic on our business, operations and development timelines and plans remains highly uncertain. The overall disruption of global healthcare systems and the other risks and uncertainties associated with the pandemic as well as any economic slowdown as a result of the COVID-19 pandemic, could materially and adversely affect our business, financial condition and results of operations. We continue to closely monitor the COVID-19 pandemic as we evolve our business continuity plans, clinical development plans and response strategy.</w:t>
      </w:r>
    </w:p>
    <w:p>
      <w:pPr>
        <w:spacing w:after="0" w:line="192"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color w:val="auto"/>
        </w:rPr>
        <w:t>In addition, our planned clinical trials have been and may continue to be affected by the COVID-19 pandemic, including (i) delays or difficulties in enrolling and retaining patients in our planned clinical trials, including patients that may not be able or willing to comply with clinical trial protocols if quarantines impede patient movement or interrupt healthcare services; (ii) delays or difficulties in clinical site initiation, including difficulties in recruiting and retaining clinical site investigators and clinical site staff as well as closures of trial sites; (iii) diversion or prioritization of healthcare resources away from the conduct of clinical trials and towards the COVID-19 pandemic, including the diversion of hospitals serving as our clinical trial sites and hospital staff supporting the conduct of our clinical trials, and because, who, as healthcare providers, may have heightened exposure to COVID-19 and adversely impact our clinical trial operations; (iv) interruption of our future clinical supply chain or key clinical trial activities, such as clinical trial site monitoring, due to limitations on travel imposed or recommended by federal, state/provincial or municipal governments, employers and others; and (v) limitations in outsourced third-party resources that would otherwise be focused on the conduct of our planned clinical trials, including because of sickness of third-party personnel or their families, or the desire of third-party personnel to avoid contact with large groups of people.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We have not generated any revenue since inception and do not expect to generate any revenue from the sale of products for several years, if at all. If our development efforts for our current or future product candidates are successful and result in regulatory approval or collaboration or license agreements with third parties, we may generate revenue in the future from a combination of product sales or payments from collaboration or license agreements that we may enter into with third parties. Because of the numerous risks and uncertainties associated with product development, regulatory approval and market acceptance, we are unable to predict the amount or timing of product revenue.</w:t>
      </w:r>
    </w:p>
    <w:p>
      <w:pPr>
        <w:sectPr>
          <w:pgSz w:w="11900" w:h="16838" w:orient="portrait"/>
          <w:cols w:equalWidth="0" w:num="1">
            <w:col w:w="11240"/>
          </w:cols>
          <w:pgMar w:left="320" w:top="121" w:right="339" w:bottom="1440" w:gutter="0" w:footer="0" w:header="0"/>
        </w:sect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2" w:name="page133"/>
    <w:bookmarkEnd w:id="1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Research and development expenses primarily represent costs incurred by us for the following:</w:t>
      </w:r>
    </w:p>
    <w:p>
      <w:pPr>
        <w:spacing w:after="0" w:line="225" w:lineRule="exact"/>
        <w:rPr>
          <w:sz w:val="20"/>
          <w:szCs w:val="20"/>
          <w:color w:val="auto"/>
        </w:rPr>
      </w:pPr>
    </w:p>
    <w:p>
      <w:pPr>
        <w:ind w:left="660" w:right="40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development costs, including expenses incurred under agreements with third parties, such as consultants, investigational sites and CROs, that conduct our nonclinical studies and clinical trials and other scientific development services;</w:t>
      </w:r>
    </w:p>
    <w:p>
      <w:pPr>
        <w:spacing w:after="0" w:line="170" w:lineRule="exact"/>
        <w:rPr>
          <w:rFonts w:ascii="Arial" w:cs="Arial" w:eastAsia="Arial" w:hAnsi="Arial"/>
          <w:sz w:val="18"/>
          <w:szCs w:val="18"/>
          <w:color w:val="auto"/>
        </w:rPr>
      </w:pPr>
    </w:p>
    <w:p>
      <w:pPr>
        <w:ind w:left="660" w:right="620" w:hanging="328"/>
        <w:spacing w:after="0" w:line="308" w:lineRule="auto"/>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costs to develop our manufacturing technology and infrastructure, including costs incurred with third-party CMOs to acquire, develop and manufacture drug substance, drug product, and delivery device materials for nonclinical studies and clinical trials;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costs incurred to maintain compliance with regulatory requirements;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other expenses, including costs of outside consultants, insurance and other operating costs.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financial statements as other current assets or other current liabilities. To date, substantially all of our research and development costs have been incurred pursuant to the development of GH001. Therefore, we have not historically tracked expenses by product candidate.</w:t>
      </w:r>
    </w:p>
    <w:p>
      <w:pPr>
        <w:spacing w:after="0" w:line="18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and related product manufacturing expenses. As a result, we expect that our research and development expenses will continue to increase over the next several years as we: (i) advance the clinical development of GH001 for TRD; (ii) advance GH001 into clinical development in additional psychiatric and neurological disorders beyond TRD; (iii) advance GH002, GH003 and any potential future product candidate into clinical development; and (iv) build our third-party or in-house process development, analytical, manufacturing and related capabilities, increase personnel costs and prepare for regulatory filings related to our potential or future product candidates. We also expect to incur additional IP-related expenses as we file further patent applications and prosecute our intellectual property to protect innovations arising from our research and development activities.</w:t>
      </w:r>
    </w:p>
    <w:p>
      <w:pPr>
        <w:spacing w:after="0" w:line="17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successful development and commercialization of GH001, GH002, GH003 and any potential future product candidate is highly uncertain. This is due to the numerous risks and uncertainties associated with development and commercialization, including the following:</w:t>
      </w:r>
    </w:p>
    <w:p>
      <w:pPr>
        <w:spacing w:after="0" w:line="170"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successful completion of nonclinical studies;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sufficiency of our financial and other resources to complete the necessary technical development work, nonclinical studies and clinical trials;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receiving regulatory approvals or clearance for conducting our planned clinical trials or future clinical trials;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receiving positive data from our clinical trials that support an acceptable risk-benefit profile of GH001, GH002, GH003 and any future product candidates in the intended populations;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receipt and maintenance of regulatory and marketing approvals from applicable regulatory authorities;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3" w:name="page134"/>
    <w:bookmarkEnd w:id="1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6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establishing and scaling up, through third-party manufacturers, manufacturing capabilities of clinical supply for our clinical trials and commercial manufacturing, if any product candidates are approved;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entry into collaborations to further the development of GH001, GH002, GH003 and any future product candidates, including any required medical devices;</w:t>
      </w:r>
    </w:p>
    <w:p>
      <w:pPr>
        <w:spacing w:after="0" w:line="170"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GH001, GH002, GH003 and any future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successfully launching commercial sales of GH001, GH002, GH003 and any future product candidates, if approved;</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acceptance of our current and future product candidates’ benefits and uses, if approved, by patients, the medical community and third-party payors;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GH001, GH002, GH003 and our future product candidates following approval.</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in nonclinical and clinical development could mean a significant change in the costs and timing associated with their development. For example, if we are required by the FDA, or other comparable foreign regulatory authorities, to perform clinical trials in addition to those that we currently expect, or if there are any delays in establishing appropriate manufacturing arrangements for our product candidates or for the medical devices required to deliver our product candidates, or if there are any delays in completing our clinical trials or the development of any of our product candidates or of the medical devices required to deliver our product candidates.</w:t>
      </w:r>
    </w:p>
    <w:p>
      <w:pPr>
        <w:spacing w:after="0" w:line="192"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Our research and development expenses may vary substantially from period to period based on the timing of our research and development activities, including due to timing of initiation of clinical trials and enrollment of patients in clinical trials. Research and development expenses are expected to increase as we advance the clinical development of our inhalable 5-MeO-DMT product candidate GH001, and further advance the research and development of our injectable 5-MeO-DMT product candidate GH002, our intranasal 5-MeO-DMT product candidate GH003, and any future product candidates. The successful development of our product candidates is highly uncertain.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General and administrative expenses consist primarily of:</w:t>
      </w:r>
    </w:p>
    <w:p>
      <w:pPr>
        <w:spacing w:after="0" w:line="225"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professional fees, including consulting, accounting, legal, tax and audit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personnel expenses, including salaries and related expenses;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other expenses, including expenses for rent and maintenance of facilities, insurance and other operating costs.</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the expected growth in our research and development activities and the potential commercialization of our product candidates. We also expect to incur increased expenses associated with being a public company, including increased costs of accounting, audit, legal, regulatory and tax-related services associated with maintaining compliance with exchange listing and SEC requirements, director and officer insurance costs, investor and public relations costs and costs associated with other administrative and professional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Differences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Foreign currency translation differences consist of foreign exchange impacts arising from foreign currency transactions.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4" w:name="page135"/>
    <w:bookmarkEnd w:id="1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are subject to corporate taxation in Ireland. Due to the nature of our business, we have generated losses since inception and have therefore not paid Irish corporation tax.</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had unused net losses of $10 million, $835 thousand and $389 thousand as of December 31, 2021, 2020 and 2019, respectively. In order to utilize any of these unused losses, we would need to be regarded as carrying on a trade for Irish corporate tax purposes. Once regarded as carrying on a trade and subject to other conditions being met, such as, that the related expenses giving rise to the losses are tax deductible, the unused tax losses can be carried forward indefinitely against future trading income. On this basis, we have concluded not to recognize any deferred tax assets at December 31, 2021, 2020 or 2019. There is no certainty that we will generate sufficient taxable profits within the required timeframe to be able to utilize these tax loss carry-forwards in full.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 of operations for the years ended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940" w:type="dxa"/>
            <w:vAlign w:val="bottom"/>
            <w:tcBorders>
              <w:bottom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w w:val="91"/>
              </w:rPr>
              <w:t>Year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w w:val="90"/>
              </w:rPr>
              <w:t>(in</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77"/>
              </w:rPr>
              <w:t>USD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(8,553)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(338)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(8,215)</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(6,547)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(6,439)</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(15,100)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(446)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(14,654)</w:t>
            </w:r>
          </w:p>
        </w:tc>
      </w:tr>
      <w:tr>
        <w:trPr>
          <w:trHeight w:val="27"/>
        </w:trPr>
        <w:tc>
          <w:tcPr>
            <w:tcW w:w="73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expense</w:t>
            </w:r>
          </w:p>
        </w:tc>
        <w:tc>
          <w:tcPr>
            <w:tcW w:w="1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Foreign currency translation differences</w:t>
            </w:r>
          </w:p>
        </w:tc>
        <w:tc>
          <w:tcPr>
            <w:tcW w:w="1140" w:type="dxa"/>
            <w:vAlign w:val="bottom"/>
          </w:tcPr>
          <w:p>
            <w:pPr>
              <w:jc w:val="right"/>
              <w:spacing w:after="0"/>
              <w:rPr>
                <w:sz w:val="20"/>
                <w:szCs w:val="20"/>
                <w:color w:val="auto"/>
              </w:rPr>
            </w:pPr>
            <w:r>
              <w:rPr>
                <w:rFonts w:ascii="Arial" w:cs="Arial" w:eastAsia="Arial" w:hAnsi="Arial"/>
                <w:sz w:val="18"/>
                <w:szCs w:val="18"/>
                <w:color w:val="auto"/>
              </w:rPr>
              <w:t>5,907</w:t>
            </w:r>
          </w:p>
        </w:tc>
        <w:tc>
          <w:tcPr>
            <w:tcW w:w="240" w:type="dxa"/>
            <w:vAlign w:val="bottom"/>
          </w:tcPr>
          <w:p>
            <w:pPr>
              <w:spacing w:after="0"/>
              <w:rPr>
                <w:sz w:val="19"/>
                <w:szCs w:val="19"/>
                <w:color w:val="auto"/>
              </w:rPr>
            </w:pPr>
          </w:p>
        </w:tc>
        <w:tc>
          <w:tcPr>
            <w:tcW w:w="15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5,907</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for the year</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(9,202)</w:t>
            </w:r>
          </w:p>
        </w:tc>
        <w:tc>
          <w:tcPr>
            <w:tcW w:w="240" w:type="dxa"/>
            <w:vAlign w:val="bottom"/>
            <w:tcBorders>
              <w:left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(8,756)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research and development expenses for the years ended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940" w:type="dxa"/>
            <w:vAlign w:val="bottom"/>
            <w:tcBorders>
              <w:bottom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w w:val="91"/>
              </w:rPr>
              <w:t>Year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b w:val="1"/>
                <w:bCs w:val="1"/>
                <w:color w:val="auto"/>
                <w:w w:val="90"/>
              </w:rPr>
              <w:t>(in</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77"/>
              </w:rPr>
              <w:t>USD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External costs</w:t>
            </w:r>
            <w:r>
              <w:rPr>
                <w:rFonts w:ascii="Arial" w:cs="Arial" w:eastAsia="Arial" w:hAnsi="Arial"/>
                <w:sz w:val="25"/>
                <w:szCs w:val="25"/>
                <w:color w:val="auto"/>
                <w:vertAlign w:val="superscript"/>
              </w:rPr>
              <w:t>(1)</w:t>
            </w:r>
          </w:p>
        </w:tc>
        <w:tc>
          <w:tcPr>
            <w:tcW w:w="13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(7,134)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8"/>
              </w:rPr>
              <w:t>(6,796)</w:t>
            </w:r>
          </w:p>
        </w:tc>
      </w:tr>
      <w:tr>
        <w:trPr>
          <w:trHeight w:val="223"/>
        </w:trPr>
        <w:tc>
          <w:tcPr>
            <w:tcW w:w="7320" w:type="dxa"/>
            <w:vAlign w:val="bottom"/>
          </w:tcPr>
          <w:p>
            <w:pPr>
              <w:spacing w:after="0" w:line="216" w:lineRule="exact"/>
              <w:rPr>
                <w:sz w:val="20"/>
                <w:szCs w:val="20"/>
                <w:color w:val="auto"/>
              </w:rPr>
            </w:pPr>
            <w:r>
              <w:rPr>
                <w:rFonts w:ascii="Arial" w:cs="Arial" w:eastAsia="Arial" w:hAnsi="Arial"/>
                <w:sz w:val="16"/>
                <w:szCs w:val="16"/>
                <w:color w:val="auto"/>
              </w:rPr>
              <w:t>Employee expenses</w:t>
            </w:r>
            <w:r>
              <w:rPr>
                <w:rFonts w:ascii="Arial" w:cs="Arial" w:eastAsia="Arial" w:hAnsi="Arial"/>
                <w:sz w:val="25"/>
                <w:szCs w:val="25"/>
                <w:color w:val="auto"/>
                <w:vertAlign w:val="superscript"/>
              </w:rPr>
              <w:t>(2)</w:t>
            </w: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(1,419)</w:t>
            </w:r>
          </w:p>
        </w:tc>
        <w:tc>
          <w:tcPr>
            <w:tcW w:w="15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00"/>
              <w:spacing w:after="0"/>
              <w:rPr>
                <w:sz w:val="20"/>
                <w:szCs w:val="20"/>
                <w:color w:val="auto"/>
              </w:rPr>
            </w:pPr>
            <w:r>
              <w:rPr>
                <w:rFonts w:ascii="Arial" w:cs="Arial" w:eastAsia="Arial" w:hAnsi="Arial"/>
                <w:sz w:val="18"/>
                <w:szCs w:val="18"/>
                <w:color w:val="auto"/>
                <w:w w:val="98"/>
              </w:rPr>
              <w:t>(1,419)</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11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b w:val="1"/>
                <w:bCs w:val="1"/>
                <w:color w:val="auto"/>
                <w:w w:val="77"/>
              </w:rPr>
              <w:t>(8,553)</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w w:val="80"/>
              </w:rPr>
              <w:t>(8,215)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87"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30"/>
          <w:szCs w:val="30"/>
          <w:color w:val="auto"/>
          <w:vertAlign w:val="superscript"/>
        </w:rPr>
      </w:pPr>
      <w:r>
        <w:rPr>
          <w:rFonts w:ascii="Arial" w:cs="Arial" w:eastAsia="Arial" w:hAnsi="Arial"/>
          <w:sz w:val="18"/>
          <w:szCs w:val="18"/>
          <w:color w:val="auto"/>
        </w:rPr>
        <w:t>Includes depreciation expense.</w:t>
      </w:r>
    </w:p>
    <w:p>
      <w:pPr>
        <w:spacing w:after="0" w:line="1" w:lineRule="exact"/>
        <w:rPr>
          <w:rFonts w:ascii="Arial" w:cs="Arial" w:eastAsia="Arial" w:hAnsi="Arial"/>
          <w:sz w:val="30"/>
          <w:szCs w:val="30"/>
          <w:color w:val="auto"/>
          <w:vertAlign w:val="superscript"/>
        </w:rPr>
      </w:pPr>
    </w:p>
    <w:p>
      <w:pPr>
        <w:ind w:left="660" w:hanging="328"/>
        <w:spacing w:after="0" w:line="194" w:lineRule="auto"/>
        <w:tabs>
          <w:tab w:leader="none" w:pos="660" w:val="left"/>
        </w:tabs>
        <w:numPr>
          <w:ilvl w:val="0"/>
          <w:numId w:val="80"/>
        </w:numPr>
        <w:rPr>
          <w:rFonts w:ascii="Arial" w:cs="Arial" w:eastAsia="Arial" w:hAnsi="Arial"/>
          <w:sz w:val="23"/>
          <w:szCs w:val="23"/>
          <w:color w:val="auto"/>
          <w:vertAlign w:val="superscript"/>
        </w:rPr>
      </w:pPr>
      <w:r>
        <w:rPr>
          <w:rFonts w:ascii="Arial" w:cs="Arial" w:eastAsia="Arial" w:hAnsi="Arial"/>
          <w:sz w:val="15"/>
          <w:szCs w:val="15"/>
          <w:color w:val="auto"/>
        </w:rPr>
        <w:t>Includes share-based compensation expense.</w:t>
      </w:r>
    </w:p>
    <w:p>
      <w:pPr>
        <w:spacing w:after="0" w:line="202"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Research and development expenses increased by $8.2 million from $338 thousand for the year ended December 31, 2020, to $8.6 million for the year ended December 31, 2021. The increase was primarily due to increased external costs relating to our technical development and clinical trials and employee expenses relating to the hiring of personnel in our research and development team to support the requirements of increased clinical activities.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general and administrative expenses for the years ended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940" w:type="dxa"/>
            <w:vAlign w:val="bottom"/>
            <w:tcBorders>
              <w:bottom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w w:val="91"/>
              </w:rPr>
              <w:t>Year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w w:val="90"/>
              </w:rPr>
              <w:t>(in</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77"/>
              </w:rPr>
              <w:t>USD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External costs</w:t>
            </w:r>
            <w:r>
              <w:rPr>
                <w:rFonts w:ascii="Arial" w:cs="Arial" w:eastAsia="Arial" w:hAnsi="Arial"/>
                <w:sz w:val="25"/>
                <w:szCs w:val="25"/>
                <w:color w:val="auto"/>
                <w:vertAlign w:val="superscript"/>
              </w:rPr>
              <w:t>(1)</w:t>
            </w:r>
          </w:p>
        </w:tc>
        <w:tc>
          <w:tcPr>
            <w:tcW w:w="1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(5,623)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(5,520)</w:t>
            </w:r>
          </w:p>
        </w:tc>
      </w:tr>
      <w:tr>
        <w:trPr>
          <w:trHeight w:val="223"/>
        </w:trPr>
        <w:tc>
          <w:tcPr>
            <w:tcW w:w="7320" w:type="dxa"/>
            <w:vAlign w:val="bottom"/>
          </w:tcPr>
          <w:p>
            <w:pPr>
              <w:spacing w:after="0" w:line="216" w:lineRule="exact"/>
              <w:rPr>
                <w:sz w:val="20"/>
                <w:szCs w:val="20"/>
                <w:color w:val="auto"/>
              </w:rPr>
            </w:pPr>
            <w:r>
              <w:rPr>
                <w:rFonts w:ascii="Arial" w:cs="Arial" w:eastAsia="Arial" w:hAnsi="Arial"/>
                <w:sz w:val="16"/>
                <w:szCs w:val="16"/>
                <w:color w:val="auto"/>
              </w:rPr>
              <w:t>Employee expenses</w:t>
            </w:r>
            <w:r>
              <w:rPr>
                <w:rFonts w:ascii="Arial" w:cs="Arial" w:eastAsia="Arial" w:hAnsi="Arial"/>
                <w:sz w:val="25"/>
                <w:szCs w:val="25"/>
                <w:color w:val="auto"/>
                <w:vertAlign w:val="superscript"/>
              </w:rPr>
              <w:t>(2)</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(924)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(919)</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(6,547)</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(6,439)</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87"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30"/>
          <w:szCs w:val="30"/>
          <w:color w:val="auto"/>
          <w:vertAlign w:val="superscript"/>
        </w:rPr>
      </w:pPr>
      <w:r>
        <w:rPr>
          <w:rFonts w:ascii="Arial" w:cs="Arial" w:eastAsia="Arial" w:hAnsi="Arial"/>
          <w:sz w:val="18"/>
          <w:szCs w:val="18"/>
          <w:color w:val="auto"/>
        </w:rPr>
        <w:t>Includes depreciation expense.</w:t>
      </w:r>
    </w:p>
    <w:p>
      <w:pPr>
        <w:spacing w:after="0" w:line="1" w:lineRule="exact"/>
        <w:rPr>
          <w:rFonts w:ascii="Arial" w:cs="Arial" w:eastAsia="Arial" w:hAnsi="Arial"/>
          <w:sz w:val="30"/>
          <w:szCs w:val="30"/>
          <w:color w:val="auto"/>
          <w:vertAlign w:val="superscript"/>
        </w:rPr>
      </w:pPr>
    </w:p>
    <w:p>
      <w:pPr>
        <w:ind w:left="660" w:hanging="328"/>
        <w:spacing w:after="0" w:line="194" w:lineRule="auto"/>
        <w:tabs>
          <w:tab w:leader="none" w:pos="660" w:val="left"/>
        </w:tabs>
        <w:numPr>
          <w:ilvl w:val="0"/>
          <w:numId w:val="81"/>
        </w:numPr>
        <w:rPr>
          <w:rFonts w:ascii="Arial" w:cs="Arial" w:eastAsia="Arial" w:hAnsi="Arial"/>
          <w:sz w:val="23"/>
          <w:szCs w:val="23"/>
          <w:color w:val="auto"/>
          <w:vertAlign w:val="superscript"/>
        </w:rPr>
      </w:pPr>
      <w:r>
        <w:rPr>
          <w:rFonts w:ascii="Arial" w:cs="Arial" w:eastAsia="Arial" w:hAnsi="Arial"/>
          <w:sz w:val="15"/>
          <w:szCs w:val="15"/>
          <w:color w:val="auto"/>
        </w:rPr>
        <w:t>Includes share-based compensation expense.</w:t>
      </w:r>
    </w:p>
    <w:p>
      <w:pPr>
        <w:spacing w:after="0" w:line="20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General and administrative expenses increased by $6.4 million from $108 thousand for the year ended December 31, 2020, to $6.5 million for the year ended December 31, 2021. The increase was primarily due to costs incurred in preparation for our initial public offering, as well as subsequent higher professional and compliance fees associated with being a public company, and increased employee expenses in our general and administrative functions to support our growth initiatives.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finance expense increased to $9 thousand for the year ended December 31, 2021 from $nil for the year ended December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Differences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Foreign currency translation gains increased to $5.9 million for the year ended December 31, 2021, from $nil for the year ended December 31, 2020. This increase was primarily due to the translation of the U.S. dollar cash balance into euro in the accounts of our subsidiary, GH Research Ireland Limited, which uses the euro as its functional currency. This resulted in a foreign currency translation gain.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225"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For a discussion of our statements of operations for the years ended December 31, 2020 and 2019, see the section “Management’s Discussion and Analysis of Financial Condition and Results of Operations—Financial Operations Overview” in our Registration Statement on Form F-1 (File No. 333-256796) filed with the SEC on June 4, 2021.</w:t>
      </w:r>
    </w:p>
    <w:p>
      <w:pPr>
        <w:spacing w:after="0" w:line="180" w:lineRule="exact"/>
        <w:rPr>
          <w:sz w:val="20"/>
          <w:szCs w:val="20"/>
          <w:color w:val="auto"/>
        </w:rPr>
      </w:pPr>
    </w:p>
    <w:p>
      <w:pPr>
        <w:ind w:right="8440" w:firstLine="8"/>
        <w:spacing w:after="0" w:line="503" w:lineRule="auto"/>
        <w:tabs>
          <w:tab w:leader="none" w:pos="30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 Sources of Liquidity</w:t>
      </w:r>
    </w:p>
    <w:p>
      <w:pPr>
        <w:ind w:right="120" w:firstLine="324"/>
        <w:spacing w:after="0" w:line="296" w:lineRule="auto"/>
        <w:rPr>
          <w:sz w:val="20"/>
          <w:szCs w:val="20"/>
          <w:color w:val="auto"/>
        </w:rPr>
      </w:pPr>
      <w:r>
        <w:rPr>
          <w:rFonts w:ascii="Arial" w:cs="Arial" w:eastAsia="Arial" w:hAnsi="Arial"/>
          <w:sz w:val="16"/>
          <w:szCs w:val="16"/>
          <w:color w:val="auto"/>
        </w:rPr>
        <w:t>We have incurred operating losses since inception, and we have not generated any revenue from any product sales or any other sources. We have not yet commercialized any of our product candidates, which are in various phases of technical and clinical development, and we do not expect to generate revenue from sales of any products for several years, if at all. Until such time as we can generate significant revenue from product sales, if ever, we expect to finance our operations through the sale of equity, debt financings or other capital sources, including potential collaborations with other companies or other strategic transactions. We have funded our operations to date primarily through equity financings, including our initial public offering.</w:t>
      </w:r>
    </w:p>
    <w:p>
      <w:pPr>
        <w:spacing w:after="0" w:line="161"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2020, we received net cash proceeds of $5.5 million from the issuance of Series A preferred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April 2021, we received net cash proceeds of $118.8 million from the issuance of Series B preferred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June 2021, we completed our initial public offering and received net proceeds of $167.6 million from the issuance of ordinary shares.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 of December 31, 2021 and 2020, we had cash of $276.8 million and $5.9 million,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We plan to continue to fund our operating and capital funding needs through sales of additional equity or other forms of financing. We may also consider pursuing strategic partnerships for clinical development and commercialization of our product candidates. The sale of additional equity would result in additional dilution to our shareholders.</w:t>
      </w:r>
    </w:p>
    <w:p>
      <w:pPr>
        <w:spacing w:after="0" w:line="184"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For a discussion of our sources of liquidity for the year ended December 31, 2019, see the section “Management’s Discussion and Analysis of Financial Condition and Results of Operations” in our Registration Statement on Form F-1 (File No. 333-256796) filed with the SEC on June 4,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years ended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940" w:type="dxa"/>
            <w:vAlign w:val="bottom"/>
            <w:tcBorders>
              <w:bottom w:val="single" w:sz="8" w:color="auto"/>
            </w:tcBorders>
            <w:gridSpan w:val="6"/>
          </w:tcPr>
          <w:p>
            <w:pPr>
              <w:ind w:left="900"/>
              <w:spacing w:after="0"/>
              <w:rPr>
                <w:sz w:val="20"/>
                <w:szCs w:val="20"/>
                <w:color w:val="auto"/>
              </w:rPr>
            </w:pPr>
            <w:r>
              <w:rPr>
                <w:rFonts w:ascii="Arial" w:cs="Arial" w:eastAsia="Arial" w:hAnsi="Arial"/>
                <w:sz w:val="18"/>
                <w:szCs w:val="18"/>
                <w:b w:val="1"/>
                <w:bCs w:val="1"/>
                <w:color w:val="auto"/>
                <w:w w:val="91"/>
              </w:rPr>
              <w:t>Year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81"/>
              </w:rPr>
              <w:t>(in</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77"/>
              </w:rPr>
              <w:t>USD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Net cash flows used in operating activities</w:t>
            </w:r>
          </w:p>
        </w:tc>
        <w:tc>
          <w:tcPr>
            <w:tcW w:w="1380" w:type="dxa"/>
            <w:vAlign w:val="bottom"/>
            <w:gridSpan w:val="3"/>
          </w:tcPr>
          <w:p>
            <w:pPr>
              <w:jc w:val="right"/>
              <w:ind w:right="90"/>
              <w:spacing w:after="0"/>
              <w:rPr>
                <w:sz w:val="20"/>
                <w:szCs w:val="20"/>
                <w:color w:val="auto"/>
              </w:rPr>
            </w:pPr>
            <w:r>
              <w:rPr>
                <w:rFonts w:ascii="Arial" w:cs="Arial" w:eastAsia="Arial" w:hAnsi="Arial"/>
                <w:sz w:val="18"/>
                <w:szCs w:val="18"/>
                <w:color w:val="auto"/>
              </w:rPr>
              <w:t>(15,283)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(14,9544)</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flows used in investing activities</w:t>
            </w:r>
          </w:p>
        </w:tc>
        <w:tc>
          <w:tcPr>
            <w:tcW w:w="13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(104)</w:t>
            </w:r>
          </w:p>
        </w:tc>
        <w:tc>
          <w:tcPr>
            <w:tcW w:w="15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Net cash flows from financing activities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286,447</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5,500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280,947</w:t>
            </w:r>
          </w:p>
        </w:tc>
      </w:tr>
      <w:tr>
        <w:trPr>
          <w:trHeight w:val="257"/>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increase/(decrease) in cash</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271,060</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265,890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Used in Operating Activities</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Net cash flows used in operating activities increased to $15.3 million for the year ended December 31, 2021 from $330 thousand for the year ended December 31, 2020, an increase of $15 million. The increase was primarily due to a $14.7 million increase in loss from operations and $0.7 million related to changes in the components in working capital, including a $3 million increase in other current assets which primarily related to prepaid insurance costs, offset by a $2.5 million increase in trade payables and other current liabilities primarily related to an increase in clinical trial costs, technical development costs and legal and professional fees, primarily related to expenses associated with operating as a public company and other corporate activities as we continue to grow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Used in Investing Activities</w:t>
      </w:r>
    </w:p>
    <w:p>
      <w:pPr>
        <w:spacing w:after="0" w:line="22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Net cash flows used in investing activities increased to $104 thousand for the year ended December 31, 2021 from $nil for the year December 31, 2020. The increase was due to the purchase of property, plant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225"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Net cash flows from financing activities increased to $286.4 million for the year ended December 31, 2021 from $5.5 million for the year ended December 31, 2020. The increase was due to the proceeds from the issuance of Series B preferred shares and our initial public offering.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225"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For a discussion of our cash flows for the years ended December 31, 2020 and 2019, see the section “Management’s Discussion and Analysis of Financial Condition and Results of Operations” in our Registration Statement on Form F-1 (File No. 333-256796) filed with the SEC on June 4,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29"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We expect our expenses to increase substantially in connection with our ongoing research and development activities, particularly as we advance the technical development work, nonclinical studies and clinical trials of our product candidates and the medical devices required to deliver such product candidates. In addition, if we obtain regulatory approval for any of our product candidates, we expect to incur significant commercialization expenses related to sales, marketing, manufacturing and distribution. Furthermore, we expect to continue to incur additional costs associated with operating as a public company. We anticipate that our expenses will increase substantially if and as we: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180" w:hanging="328"/>
        <w:spacing w:after="0" w:line="263"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continue to develop and conduct clinical trials, including in expanded geographies such as the United States, for GH001, our inhalable 5-MeO-DMT product candidate, GH002, our injectable 5-MeO-DMT product candidate, and GH003, our intranasal 5-MeO-DMT product candidate for our initial indications and additional potential indications;</w:t>
      </w:r>
    </w:p>
    <w:p>
      <w:pPr>
        <w:spacing w:after="0" w:line="183"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continue both the technical development and expansion of our external manufacturing capabilities for our current product candidates GH001, GH002 and GH003 and of the medical devices required to deliver these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initiate and continue research and development, including nonclinical, clinical, and discovery efforts for any future product candidates;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seek to identify additional product candidates;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GH001, GH002 and GH003 including the medical devices required to deliver these product candidates, or any other product candidates that successfully complete clinical development;</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candidate and device development and help us comply with our obligations as a public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hire and retain additional personnel, such as clinical, quality control, scientific, commercial, sales, marketing and administrative personnel;</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continue to prepare, file, prosecute, maintain, protect and enforce our intellectual property rights and claims;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establish sales, marketing, distribution, manufacturing, supply chain and other commercial infrastructure in the future to commercialize various products for which we may obtain regulatory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comply with ongoing regulatory requirements for products approved for commercial sale, if ever;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acquire or in-license other product candidates, medical devices to deliver our product candidates, and other technologies;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incur increased costs as a result of operating as a public company.</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of December 31, 2021, we had cash of $276.8 million. We believe that our existing cash will be sufficient for us to fund our operating expenses and capital expenditure requirements for at least the next 12 months. However, we have based this estimate on assumptions that may prove to be wrong and we could exhaust our capital resources sooner than we expect. Because of the numerous risks and uncertainties associated with product development, we may incorrectly estimate the timing and amounts of increased capital outlays and operating expenses associated with completing the research and development of our product candidates. Our present and future funding requirements and timing and amount of our operating expenditures, both in the near- and long-term, depend on many factors, including, but not limited to:</w:t>
      </w:r>
    </w:p>
    <w:p>
      <w:pPr>
        <w:spacing w:after="0" w:line="192" w:lineRule="exact"/>
        <w:rPr>
          <w:sz w:val="20"/>
          <w:szCs w:val="20"/>
          <w:color w:val="auto"/>
        </w:rPr>
      </w:pPr>
    </w:p>
    <w:p>
      <w:pPr>
        <w:ind w:left="660" w:right="120" w:hanging="328"/>
        <w:spacing w:after="0" w:line="263"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GH001, GH002 and GH003 product candidates, additional 5-MeO-DMT delivery approaches and the medical devices required to deliver these therapies for our initial and any additional indications, as well as other product candidates we may develop;</w:t>
      </w:r>
    </w:p>
    <w:p>
      <w:pPr>
        <w:spacing w:after="0" w:line="183" w:lineRule="exact"/>
        <w:rPr>
          <w:rFonts w:ascii="Arial" w:cs="Arial" w:eastAsia="Arial" w:hAnsi="Arial"/>
          <w:sz w:val="18"/>
          <w:szCs w:val="18"/>
          <w:color w:val="auto"/>
        </w:rPr>
      </w:pPr>
    </w:p>
    <w:p>
      <w:pPr>
        <w:jc w:val="both"/>
        <w:ind w:left="660" w:right="300" w:hanging="328"/>
        <w:spacing w:after="0" w:line="263"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timing and uncertainty of, and the costs involved in, obtaining marketing approvals for our GH001, GH002 and GH003 product candidates including the medical devices required to deliver these therapies for our initial and any additional indications, and other product candidates we may develop and pursue;</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number of future product candidates that we may pursue and their development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number of jurisdictions in which we plan to seek regulatory approvals;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8" w:name="page139"/>
    <w:bookmarkEnd w:id="1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20" w:hanging="328"/>
        <w:spacing w:after="0" w:line="263"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approved, the costs of commercialization activities for GH001, GH002 and GH003 for any approved indications, or any other product candidate that receives regulatory approval to the extent such costs are not the responsibility of any future collaborators, including the costs and timing of establishing product sales, marketing, distribution, and manufacturing capabilities;</w:t>
      </w:r>
    </w:p>
    <w:p>
      <w:pPr>
        <w:spacing w:after="0" w:line="183"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subject to receipt of regulatory approval, revenue, if any, received from commercial sales of GH001, GH002 and GH003 and the respective medical devices for any approved indications or any other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extent to which we may in-license or acquire rights to other products, product candidates, medical devices or technologies;</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increase our office space, and establish a commercial infrastructure;</w:t>
      </w:r>
    </w:p>
    <w:p>
      <w:pPr>
        <w:spacing w:after="0" w:line="170"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and maintaining and protecting our intellectual property rights, including enforcing and defending intellectual property-related claims;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effect of competing product and market developments;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ongoing costs of operating as a public company.</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convertible debt financings, strategic collaborations and licensing arrangements. To the extent that we raise additional capital through the sale of equity or convertible debt securities, the ownership interests of our existing shareholders may be diluted, and the terms of these securities may include liquidation or other preferences that adversely affect the rights of such existing shareholders. Debt financing, if available, may result in fixed payment obligations and may involve agreements that include covenants limiting or restricting our ability to take specific actions, such as incurring additional debt, making capital expenditures or declaring dividends.</w:t>
      </w:r>
    </w:p>
    <w:p>
      <w:pPr>
        <w:spacing w:after="0" w:line="192" w:lineRule="exact"/>
        <w:rPr>
          <w:sz w:val="20"/>
          <w:szCs w:val="20"/>
          <w:color w:val="auto"/>
        </w:rPr>
      </w:pPr>
    </w:p>
    <w:p>
      <w:pPr>
        <w:ind w:right="220" w:firstLine="324"/>
        <w:spacing w:after="0" w:line="296" w:lineRule="auto"/>
        <w:rPr>
          <w:sz w:val="20"/>
          <w:szCs w:val="20"/>
          <w:color w:val="auto"/>
        </w:rPr>
      </w:pPr>
      <w:r>
        <w:rPr>
          <w:rFonts w:ascii="Arial" w:cs="Arial" w:eastAsia="Arial" w:hAnsi="Arial"/>
          <w:sz w:val="16"/>
          <w:szCs w:val="16"/>
          <w:color w:val="auto"/>
        </w:rPr>
        <w:t>If we raise funds through collaborations or marketing, distribution, licensing and royalty arrangements with third parties, we may have to relinquish valuable rights to our intellectual property or technologies, future revenue streams, research programs or product candidates or to grant licenses on terms that may not be favorable to us or issue and sell our shares, which may result in dilution to our shareholders.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as to the risks associated with our future funding needs, see “Item 3. Key Information—D. Risk Factors.”</w:t>
      </w:r>
    </w:p>
    <w:p>
      <w:pPr>
        <w:spacing w:after="0" w:line="22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Research and Development, Patents and Licenses, etc.</w:t>
      </w:r>
    </w:p>
    <w:p>
      <w:pPr>
        <w:spacing w:after="0" w:line="22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See “Item 4. Information on the Company—B. Business Overview” and “Item 5. Operating and Financial Review and Prospects—A. Operating Results—Financial Operations Overview.”</w:t>
      </w:r>
    </w:p>
    <w:p>
      <w:pPr>
        <w:spacing w:after="0" w:line="166" w:lineRule="exact"/>
        <w:rPr>
          <w:sz w:val="20"/>
          <w:szCs w:val="20"/>
          <w:color w:val="auto"/>
        </w:rPr>
      </w:pPr>
    </w:p>
    <w:p>
      <w:pPr>
        <w:ind w:left="320" w:hanging="312"/>
        <w:spacing w:after="0"/>
        <w:tabs>
          <w:tab w:leader="none" w:pos="32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See “Item 5. Operating and Financial Review and Prospects—A. Operating Results.”</w:t>
      </w:r>
    </w:p>
    <w:p>
      <w:pPr>
        <w:spacing w:after="0" w:line="221" w:lineRule="exact"/>
        <w:rPr>
          <w:rFonts w:ascii="Arial" w:cs="Arial" w:eastAsia="Arial" w:hAnsi="Arial"/>
          <w:sz w:val="18"/>
          <w:szCs w:val="18"/>
          <w:b w:val="1"/>
          <w:bCs w:val="1"/>
          <w:color w:val="auto"/>
        </w:rPr>
      </w:pPr>
    </w:p>
    <w:p>
      <w:pPr>
        <w:ind w:left="360" w:hanging="352"/>
        <w:spacing w:after="0"/>
        <w:tabs>
          <w:tab w:leader="none" w:pos="3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See note 2 in the notes to our consolidated financial statements appearing elsewhere in this Annual Report for a description of critical accounting estimates.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9" w:name="page140"/>
    <w:bookmarkEnd w:id="1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Directors and Senior Management</w:t>
      </w:r>
    </w:p>
    <w:p>
      <w:pPr>
        <w:spacing w:after="0" w:line="229" w:lineRule="exact"/>
        <w:rPr>
          <w:sz w:val="20"/>
          <w:szCs w:val="20"/>
          <w:color w:val="auto"/>
        </w:rPr>
      </w:pPr>
    </w:p>
    <w:p>
      <w:pPr>
        <w:ind w:right="720" w:firstLine="324"/>
        <w:spacing w:after="0" w:line="308" w:lineRule="auto"/>
        <w:rPr>
          <w:sz w:val="20"/>
          <w:szCs w:val="20"/>
          <w:color w:val="auto"/>
        </w:rPr>
      </w:pPr>
      <w:r>
        <w:rPr>
          <w:rFonts w:ascii="Arial" w:cs="Arial" w:eastAsia="Arial" w:hAnsi="Arial"/>
          <w:sz w:val="17"/>
          <w:szCs w:val="17"/>
          <w:color w:val="auto"/>
        </w:rPr>
        <w:t>The following table presents information about our current executive officers and directors. The term of each of our directors is one year and, accordingly, will expire at our annual general meeting of shareholders to be held in 2022. Ages are as of March 1, 2022.</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ind w:left="264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3800" w:type="dxa"/>
            <w:vAlign w:val="bottom"/>
            <w:gridSpan w:val="2"/>
          </w:tcPr>
          <w:p>
            <w:pPr>
              <w:ind w:left="1440"/>
              <w:spacing w:after="0"/>
              <w:rPr>
                <w:sz w:val="20"/>
                <w:szCs w:val="20"/>
                <w:color w:val="auto"/>
              </w:rPr>
            </w:pPr>
            <w:r>
              <w:rPr>
                <w:rFonts w:ascii="Arial" w:cs="Arial" w:eastAsia="Arial" w:hAnsi="Arial"/>
                <w:sz w:val="18"/>
                <w:szCs w:val="18"/>
                <w:b w:val="1"/>
                <w:bCs w:val="1"/>
                <w:color w:val="auto"/>
              </w:rPr>
              <w:t>Position(s)</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r>
      <w:tr>
        <w:trPr>
          <w:trHeight w:val="216"/>
        </w:trPr>
        <w:tc>
          <w:tcPr>
            <w:tcW w:w="57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Executive Officers</w:t>
            </w:r>
          </w:p>
        </w:tc>
        <w:tc>
          <w:tcPr>
            <w:tcW w:w="120" w:type="dxa"/>
            <w:vAlign w:val="bottom"/>
          </w:tcPr>
          <w:p>
            <w:pPr>
              <w:spacing w:after="0"/>
              <w:rPr>
                <w:sz w:val="18"/>
                <w:szCs w:val="18"/>
                <w:color w:val="auto"/>
              </w:rPr>
            </w:pPr>
          </w:p>
        </w:tc>
        <w:tc>
          <w:tcPr>
            <w:tcW w:w="3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Theis Terwey</w:t>
            </w:r>
          </w:p>
        </w:tc>
        <w:tc>
          <w:tcPr>
            <w:tcW w:w="3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Chief Executive Officer</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Magnus Halle</w:t>
            </w:r>
          </w:p>
        </w:tc>
        <w:tc>
          <w:tcPr>
            <w:tcW w:w="3920" w:type="dxa"/>
            <w:vAlign w:val="bottom"/>
            <w:gridSpan w:val="3"/>
          </w:tcPr>
          <w:p>
            <w:pPr>
              <w:ind w:left="120"/>
              <w:spacing w:after="0"/>
              <w:rPr>
                <w:sz w:val="20"/>
                <w:szCs w:val="20"/>
                <w:color w:val="auto"/>
              </w:rPr>
            </w:pPr>
            <w:r>
              <w:rPr>
                <w:rFonts w:ascii="Arial" w:cs="Arial" w:eastAsia="Arial" w:hAnsi="Arial"/>
                <w:sz w:val="18"/>
                <w:szCs w:val="18"/>
                <w:color w:val="auto"/>
              </w:rPr>
              <w:t>Managing Director, Ireland</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Julie Ryan</w:t>
            </w:r>
          </w:p>
        </w:tc>
        <w:tc>
          <w:tcPr>
            <w:tcW w:w="3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Vice President, Finance</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r>
      <w:tr>
        <w:trPr>
          <w:trHeight w:val="216"/>
        </w:trPr>
        <w:tc>
          <w:tcPr>
            <w:tcW w:w="5740" w:type="dxa"/>
            <w:vAlign w:val="bottom"/>
          </w:tcPr>
          <w:p>
            <w:pPr>
              <w:spacing w:after="0"/>
              <w:rPr>
                <w:sz w:val="20"/>
                <w:szCs w:val="20"/>
                <w:color w:val="auto"/>
              </w:rPr>
            </w:pPr>
            <w:r>
              <w:rPr>
                <w:rFonts w:ascii="Arial" w:cs="Arial" w:eastAsia="Arial" w:hAnsi="Arial"/>
                <w:sz w:val="18"/>
                <w:szCs w:val="18"/>
                <w:b w:val="1"/>
                <w:bCs w:val="1"/>
                <w:color w:val="auto"/>
              </w:rPr>
              <w:t>Non-Executive Directors</w:t>
            </w: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Florian Schönharting</w:t>
            </w:r>
          </w:p>
        </w:tc>
        <w:tc>
          <w:tcPr>
            <w:tcW w:w="3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Chairman of the Board of Directors</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Michael Forer</w:t>
            </w:r>
          </w:p>
        </w:tc>
        <w:tc>
          <w:tcPr>
            <w:tcW w:w="3920" w:type="dxa"/>
            <w:vAlign w:val="bottom"/>
            <w:gridSpan w:val="3"/>
          </w:tcPr>
          <w:p>
            <w:pPr>
              <w:ind w:left="120"/>
              <w:spacing w:after="0"/>
              <w:rPr>
                <w:sz w:val="20"/>
                <w:szCs w:val="20"/>
                <w:color w:val="auto"/>
              </w:rPr>
            </w:pPr>
            <w:r>
              <w:rPr>
                <w:rFonts w:ascii="Arial" w:cs="Arial" w:eastAsia="Arial" w:hAnsi="Arial"/>
                <w:sz w:val="18"/>
                <w:szCs w:val="18"/>
                <w:color w:val="auto"/>
              </w:rPr>
              <w:t>Vice Chairman of the Board of Directors</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56</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Dermot Hanley</w:t>
            </w:r>
          </w:p>
        </w:tc>
        <w:tc>
          <w:tcPr>
            <w:tcW w:w="3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Director</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Duncan Moore</w:t>
            </w:r>
          </w:p>
        </w:tc>
        <w:tc>
          <w:tcPr>
            <w:tcW w:w="39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07124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Unless otherwise indicated, the current business address for our executive officers and our non-executive directors is GH Research PLC, 28 Baggot Street Lower, Dublin 2, D02 NX43, Ireland.</w:t>
      </w:r>
    </w:p>
    <w:p>
      <w:pPr>
        <w:spacing w:after="0" w:line="219"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On March 27, 2022, Spike Loy resigned from our board of directors. Mr. Loy served as a member of our board of directors since November 2020 and served on our nominating and corporate governance and remuneration committees since their formation. Mr. Loy’s decision to resign did not arise or result from any disagreement with the Company on any matter relating to the Company’s operations, policies or practices.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5" w:lineRule="exact"/>
        <w:rPr>
          <w:sz w:val="20"/>
          <w:szCs w:val="20"/>
          <w:color w:val="auto"/>
        </w:rPr>
      </w:pPr>
    </w:p>
    <w:p>
      <w:pPr>
        <w:ind w:right="220" w:firstLine="324"/>
        <w:spacing w:after="0" w:line="298" w:lineRule="auto"/>
        <w:rPr>
          <w:sz w:val="20"/>
          <w:szCs w:val="20"/>
          <w:color w:val="auto"/>
        </w:rPr>
      </w:pPr>
      <w:r>
        <w:rPr>
          <w:rFonts w:ascii="Arial" w:cs="Arial" w:eastAsia="Arial" w:hAnsi="Arial"/>
          <w:sz w:val="16"/>
          <w:szCs w:val="16"/>
          <w:b w:val="1"/>
          <w:bCs w:val="1"/>
          <w:color w:val="auto"/>
        </w:rPr>
        <w:t>Theis Terwey, PD, Dr. Med.</w:t>
      </w:r>
      <w:r>
        <w:rPr>
          <w:rFonts w:ascii="Arial" w:cs="Arial" w:eastAsia="Arial" w:hAnsi="Arial"/>
          <w:sz w:val="16"/>
          <w:szCs w:val="16"/>
          <w:color w:val="auto"/>
        </w:rPr>
        <w:t>, has served as our Chief Executive Officer since May 2021. Dr. Terwey is one of our co-founders and was a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from our founding in 2018 to 2020. Currently, Dr. Terwey also serves as a Senior Consultant for Forward Pharma A/S, a position he has held since 2015. Previously, Dr. Terwey was Partner at NB Capital ApS, a position he held from 2015 to 2020, and he served in a variety of roles at NB Capital Research GmbH, where he was Managing Director from 2012 to 2015, and Medical Advisor from 2009 to 2012. Dr. Terwey holds a Dr. Med. from Charité — University Medicine Berlin, where he also is a private lecturer (Privatdozent), and completed his specialist degree for Internal Medicine.</w:t>
      </w:r>
    </w:p>
    <w:p>
      <w:pPr>
        <w:spacing w:after="0" w:line="154" w:lineRule="exact"/>
        <w:rPr>
          <w:sz w:val="20"/>
          <w:szCs w:val="20"/>
          <w:color w:val="auto"/>
        </w:rPr>
      </w:pPr>
    </w:p>
    <w:p>
      <w:pPr>
        <w:ind w:right="140" w:firstLine="324"/>
        <w:spacing w:after="0" w:line="303" w:lineRule="auto"/>
        <w:rPr>
          <w:sz w:val="20"/>
          <w:szCs w:val="20"/>
          <w:color w:val="auto"/>
        </w:rPr>
      </w:pPr>
      <w:r>
        <w:rPr>
          <w:rFonts w:ascii="Arial" w:cs="Arial" w:eastAsia="Arial" w:hAnsi="Arial"/>
          <w:sz w:val="16"/>
          <w:szCs w:val="16"/>
          <w:b w:val="1"/>
          <w:bCs w:val="1"/>
          <w:color w:val="auto"/>
        </w:rPr>
        <w:t>Magnus Halle</w:t>
      </w:r>
      <w:r>
        <w:rPr>
          <w:rFonts w:ascii="Arial" w:cs="Arial" w:eastAsia="Arial" w:hAnsi="Arial"/>
          <w:sz w:val="16"/>
          <w:szCs w:val="16"/>
          <w:color w:val="auto"/>
        </w:rPr>
        <w:t>, has served as our Managing Director, Ireland since November 2020, is one of our co-founders, and served as a consultant to us from</w:t>
      </w:r>
      <w:r>
        <w:rPr>
          <w:rFonts w:ascii="Arial" w:cs="Arial" w:eastAsia="Arial" w:hAnsi="Arial"/>
          <w:sz w:val="16"/>
          <w:szCs w:val="16"/>
          <w:b w:val="1"/>
          <w:bCs w:val="1"/>
          <w:color w:val="auto"/>
        </w:rPr>
        <w:t xml:space="preserve"> </w:t>
      </w:r>
      <w:r>
        <w:rPr>
          <w:rFonts w:ascii="Arial" w:cs="Arial" w:eastAsia="Arial" w:hAnsi="Arial"/>
          <w:sz w:val="16"/>
          <w:szCs w:val="16"/>
          <w:color w:val="auto"/>
        </w:rPr>
        <w:t>our founding in 2018 to 2020. Previously, Mr. Halle served as Analyst at NB Capital ApS, a position he held from 2018 to 2021. Additionally, from 2019, he served as the Money Laundering Reporting Officer at NB Capital ApS. Prior to that, from 2016 to 2018, he was the Personal Assistant to Florian Schönharting at NB Capital ApS. Mr. Halle holds a BSc in economics and business administration from Copenhagen Business School.</w:t>
      </w:r>
    </w:p>
    <w:p>
      <w:pPr>
        <w:spacing w:after="0" w:line="151"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b w:val="1"/>
          <w:bCs w:val="1"/>
          <w:color w:val="auto"/>
        </w:rPr>
        <w:t>Julie Ryan, ACA</w:t>
      </w:r>
      <w:r>
        <w:rPr>
          <w:rFonts w:ascii="Arial" w:cs="Arial" w:eastAsia="Arial" w:hAnsi="Arial"/>
          <w:sz w:val="18"/>
          <w:szCs w:val="18"/>
          <w:color w:val="auto"/>
        </w:rPr>
        <w:t>, has served as our Vice President, Finance (previously titled as Group Finance Director) since January 2021. Previously, Ms. Ryan</w:t>
      </w:r>
      <w:r>
        <w:rPr>
          <w:rFonts w:ascii="Arial" w:cs="Arial" w:eastAsia="Arial" w:hAnsi="Arial"/>
          <w:sz w:val="18"/>
          <w:szCs w:val="18"/>
          <w:b w:val="1"/>
          <w:bCs w:val="1"/>
          <w:color w:val="auto"/>
        </w:rPr>
        <w:t xml:space="preserve"> </w:t>
      </w:r>
      <w:r>
        <w:rPr>
          <w:rFonts w:ascii="Arial" w:cs="Arial" w:eastAsia="Arial" w:hAnsi="Arial"/>
          <w:sz w:val="18"/>
          <w:szCs w:val="18"/>
          <w:color w:val="auto"/>
        </w:rPr>
        <w:t>has served in a number of senior finance roles including Ardagh Group plc, where she was Group Reporting Manager from 2018 to 2020, Sherry FitzGerald, where she was Commercial Business Partner in 2018, ICON plc, where she was Assistant Manager, Commercial/Finance Business Partnering from 2015 to 2018 and Brambles Ltd, where she was Finance Manager from 2013 to 2015. Ms. Ryan qualified as a chartered accountant with PricewaterhouseCoopers and holds a B.Comm (Acc) from University College Dublin and a MAcc from University College Dublin’s Michael Smurfit Graduate Business School.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pacing w:after="0" w:line="225" w:lineRule="exact"/>
        <w:rPr>
          <w:sz w:val="20"/>
          <w:szCs w:val="20"/>
          <w:color w:val="auto"/>
        </w:rPr>
      </w:pPr>
    </w:p>
    <w:p>
      <w:pPr>
        <w:ind w:right="20" w:firstLine="324"/>
        <w:spacing w:after="0" w:line="274" w:lineRule="auto"/>
        <w:rPr>
          <w:sz w:val="20"/>
          <w:szCs w:val="20"/>
          <w:color w:val="auto"/>
        </w:rPr>
      </w:pPr>
      <w:r>
        <w:rPr>
          <w:rFonts w:ascii="Arial" w:cs="Arial" w:eastAsia="Arial" w:hAnsi="Arial"/>
          <w:sz w:val="17"/>
          <w:szCs w:val="17"/>
          <w:b w:val="1"/>
          <w:bCs w:val="1"/>
          <w:color w:val="auto"/>
        </w:rPr>
        <w:t>Florian Schönharting</w:t>
      </w:r>
      <w:r>
        <w:rPr>
          <w:rFonts w:ascii="Arial" w:cs="Arial" w:eastAsia="Arial" w:hAnsi="Arial"/>
          <w:sz w:val="17"/>
          <w:szCs w:val="17"/>
          <w:color w:val="auto"/>
        </w:rPr>
        <w:t>, has served as the Chairman of our board of directors since 2018. Mr. Schönharting is one of our co-founders. Mr. Schönharting</w:t>
      </w:r>
      <w:r>
        <w:rPr>
          <w:rFonts w:ascii="Arial" w:cs="Arial" w:eastAsia="Arial" w:hAnsi="Arial"/>
          <w:sz w:val="17"/>
          <w:szCs w:val="17"/>
          <w:b w:val="1"/>
          <w:bCs w:val="1"/>
          <w:color w:val="auto"/>
        </w:rPr>
        <w:t xml:space="preserve"> </w:t>
      </w:r>
      <w:r>
        <w:rPr>
          <w:rFonts w:ascii="Arial" w:cs="Arial" w:eastAsia="Arial" w:hAnsi="Arial"/>
          <w:sz w:val="17"/>
          <w:szCs w:val="17"/>
          <w:color w:val="auto"/>
        </w:rPr>
        <w:t>is also co-founder of Forward Pharma A/S, has served on its board of directors since 2005 and Chairman of the board of directors since 2011. He has also founded or co-founded several other biopharmaceutical companies, including Genmab A/S, Veloxis A/S (f/k/a Life Cycle Pharma A/S), Zealand Pharma A/S and Acadia Pharmaceuticals Inc. Mr. Schönharting has more than 25 years of investment executive experience in public and private equity funds involved in the biopharmaceutical industry. We believe that Mr. Schönharting is qualified to serve on our board of directors because of his experience, attributes and skills, including his extensive pharmaceutical and executive experience.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b w:val="1"/>
          <w:bCs w:val="1"/>
          <w:color w:val="auto"/>
        </w:rPr>
        <w:t>Michael Forer, LL.B.</w:t>
      </w:r>
      <w:r>
        <w:rPr>
          <w:rFonts w:ascii="Arial" w:cs="Arial" w:eastAsia="Arial" w:hAnsi="Arial"/>
          <w:sz w:val="17"/>
          <w:szCs w:val="17"/>
          <w:color w:val="auto"/>
        </w:rPr>
        <w:t>, has served as the Vice Chairman of our board of directors since March 2022 and as a member of our board of directors since</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2020. Mr. Forer is currently Vice Chairman of the board of directors and Executive Vice President of ADC Therapeutics SA, a position he has held since June 2015. Mr. Forer has also been General Counsel of ADC Therapeutics SA since October 2020. From 2016 to 2020, Mr. Forer was Chief Financial Officer of ADC Therapeutics SA, and from 2011 to 2015, Mr. Forer was the Chief Executive Officer of ADC Therapeutics SA. From 2009 to 2013, Mr. Forer was a board member and Executive Director of Spirogen. Prior to that, Mr. Forer was the Managing Director for the investment activities of Auven Therapeutics Holdings L.P. from 2008 to 2015, the co-founder and Managing Director of Rosetta Capital Limited, and an Investment Manager at Rothschild Asset Management from 1998 to 2001. Mr. Forer holds a B.A. in economics from the University of Western Ontario and an LL.B. from the University of British Columbia. We believe that Mr. Forer is qualified to serve on our board of directors because of his experience, attributes and skills, including his extensive pharmaceutical experience.</w:t>
      </w:r>
    </w:p>
    <w:p>
      <w:pPr>
        <w:spacing w:after="0" w:line="17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b w:val="1"/>
          <w:bCs w:val="1"/>
          <w:color w:val="auto"/>
        </w:rPr>
        <w:t>Dermot Hanley</w:t>
      </w:r>
      <w:r>
        <w:rPr>
          <w:rFonts w:ascii="Arial" w:cs="Arial" w:eastAsia="Arial" w:hAnsi="Arial"/>
          <w:sz w:val="17"/>
          <w:szCs w:val="17"/>
          <w:color w:val="auto"/>
        </w:rPr>
        <w:t>, has served as a member of our board of directors since September 2021. Mr. Hanley is an experienced independent non-executive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and investment banker. He is currently a non-executive board member of numerous private equity backed companies and regulated financial investment funds. These include Killiney Maritime since September 2018, Larix Opportunities Master ICAV since February 2020, Varagon Capital Credit Strategies ICAV since October 2020. Additionally, he has served as Chairperson of RTW Investments ICAV since January 2021 and CVP Credit Value Fund (Europe) V GP Limited since May 2021. He founded Nusli in 2012. Previously, Mr. Hanley was Co-Head of Coverage for Barclays Bank Ireland and spent 16 years in international investment banking and capital markets roles with major global firms, including Claret Capital, JP Morgan, Deutsche Bank and Citibank. He is a member of the Governance Advisory Council for The Corporate Governance Institute and is also a longstanding member of the Finance and Economics Committee (Ecotax) at The Irish Business and Employers Confederation. He is a graduate of University College Dublin (BSc) and The Queens University of Belfast (MBA) and holds a diploma in corporate governance from The Corporate Governance Institute/Glasgow Caledonia University.</w:t>
      </w:r>
    </w:p>
    <w:p>
      <w:pPr>
        <w:spacing w:after="0" w:line="17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b w:val="1"/>
          <w:bCs w:val="1"/>
          <w:color w:val="auto"/>
        </w:rPr>
        <w:t>Duncan Moore, PhD</w:t>
      </w:r>
      <w:r>
        <w:rPr>
          <w:rFonts w:ascii="Arial" w:cs="Arial" w:eastAsia="Arial" w:hAnsi="Arial"/>
          <w:sz w:val="17"/>
          <w:szCs w:val="17"/>
          <w:color w:val="auto"/>
        </w:rPr>
        <w:t>, has served as a member of our board of directors since September 2021. Dr. Moore is a partner at East West Capital Partners</w:t>
      </w:r>
      <w:r>
        <w:rPr>
          <w:rFonts w:ascii="Arial" w:cs="Arial" w:eastAsia="Arial" w:hAnsi="Arial"/>
          <w:sz w:val="17"/>
          <w:szCs w:val="17"/>
          <w:b w:val="1"/>
          <w:bCs w:val="1"/>
          <w:color w:val="auto"/>
        </w:rPr>
        <w:t xml:space="preserve"> </w:t>
      </w:r>
      <w:r>
        <w:rPr>
          <w:rFonts w:ascii="Arial" w:cs="Arial" w:eastAsia="Arial" w:hAnsi="Arial"/>
          <w:sz w:val="17"/>
          <w:szCs w:val="17"/>
          <w:color w:val="auto"/>
        </w:rPr>
        <w:t>since May 2008. Previously, Dr. Moore was a top-ranked pharmaceutical analyst at Morgan Stanley from 1991 to 2008 and was a Managing Director from 1997 to 2008 leading the firm’s global healthcare equity research team. Whilst at the University of Cambridge, he co-founded a medical diagnostics company, Ultra Clone, with two colleagues which led to the beginnings of a 20-year career in healthcare capital markets analysis. In 1986, he was involved in establishing the BankInvest biotechnology funds and was on their scientific advisory board. Dr. Moore was educated in Edinburgh and attended the University of Leeds where he studied Biochemistry and Microbiology. He has a M.Phil. and Ph.D. from the University of Cambridge where he was also a post-doctoral research fellow. Currently, he is an active investor in biomedical companies as Chairman of Lamellar Biomedical and Allarity Therapeutics A/S (previously Oncology Venture A/S). In addition, he has a board position at Forward Pharma A/S, Cycle Pharma and ASP Isotopes. He is also the Chairman of the Scottish Life Sciences Association and serves on the Board of Governors of Merchiston Castle School in Edinburgh and the International School in Shenzhen in the Peoples Republic of China.</w:t>
      </w:r>
    </w:p>
    <w:p>
      <w:pPr>
        <w:spacing w:after="0" w:line="17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For the year ended December 31, 2021, the aggregate compensation paid to the members of our board of directors and our executive officers for services in all capacities, including retirement and similar benefits, was $0.8 million.</w:t>
      </w:r>
    </w:p>
    <w:p>
      <w:pPr>
        <w:spacing w:after="0" w:line="17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On June 4, 2021, we granted the option to purchase 126,218 ordinary shares of GH Research PLC to Julie Ryan, Vice President, Finance (previously titled as Group Finance Director), at an exercise price of $4.93 per share. Following the Share Consolidation, the entitlement adjusted to an option to purchase 50,487 ordinary shares at an exercise price of $12.32 per share. On September 24, 2021, we granted the option to purchase 7,296 ordinary shares to members of our board of directors, which vested on the date of grant at an exercise price of $2.05 per share and are generally subject to a two-year service condition.</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1" w:name="page142"/>
    <w:bookmarkEnd w:id="1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Option Plan</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have adopted a share option plan (referred to herein as the Share Option Plan), under which grants of options are made to eligible participants. The purpose of the Share Option Plan is to attract, retain and motivate employees and directors to provide for competitive compensation opportunities, to encourage long term service, to recognize individual contributions and reward achievement of performance goals, and to promote the creation of long term value for our shareholders. As of December 31, 2021, options with respect to 157,187 ordinary shares, having a weighted average exercise price of $15.80 per share, were outstanding under the Share Option Plan.</w:t>
      </w:r>
    </w:p>
    <w:p>
      <w:pPr>
        <w:spacing w:after="0" w:line="18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The Share Option Plan is administered by our remuneration committee and is subject to the remuneration committee’s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to delegate such authority to other members of our board or our officers or managers.</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i w:val="1"/>
          <w:iCs w:val="1"/>
          <w:color w:val="auto"/>
        </w:rPr>
        <w:t>Eligible Participants</w:t>
      </w:r>
      <w:r>
        <w:rPr>
          <w:rFonts w:ascii="Arial" w:cs="Arial" w:eastAsia="Arial" w:hAnsi="Arial"/>
          <w:sz w:val="18"/>
          <w:szCs w:val="18"/>
          <w:color w:val="auto"/>
        </w:rPr>
        <w:t>: Under the Share Option Plan, any director (including our directors and directors of any other member of our group who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active employees of the Company or any other company that is a member of our group) or employee of a member of the group or key consultant (referred to herein as the Eligible Person) is eligible to be nominated by our remuneration committee to receive options. The remuneration committee retains absolute discretion in determining whether or not the Eligible Person shall be nominated to participate in the Share Option Plan. No person is entitled as of right to participate in the Share Option Plan.</w:t>
      </w:r>
    </w:p>
    <w:p>
      <w:pPr>
        <w:spacing w:after="0" w:line="18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Awards</w:t>
      </w:r>
      <w:r>
        <w:rPr>
          <w:rFonts w:ascii="Arial" w:cs="Arial" w:eastAsia="Arial" w:hAnsi="Arial"/>
          <w:sz w:val="17"/>
          <w:szCs w:val="17"/>
          <w:color w:val="auto"/>
        </w:rPr>
        <w:t>: The number of ordinary shares in respect of which options may be granted under the Share Option Plan will not, when added to the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ordinary shares which have been or remain to be issued or purchased pursuant to options granted during the immediately preceding 10 year period, exceed 1,202,734 ordinary shares, until otherwise resolved in general meetings of the shareholders. Under the Share Option Plan, equity will be awarded in the form of options. Options will have an exercise price determined by the remuneration committee but will not (unless otherwise determined) be less than the market value of an ordinary share on the day preceding the date of grant. The term of each option will be determined by the remuneration committee, but will not be longer than eight years from the date of grant.</w:t>
      </w:r>
    </w:p>
    <w:p>
      <w:pPr>
        <w:spacing w:after="0" w:line="178" w:lineRule="exact"/>
        <w:rPr>
          <w:sz w:val="20"/>
          <w:szCs w:val="20"/>
          <w:color w:val="auto"/>
        </w:rPr>
      </w:pPr>
    </w:p>
    <w:p>
      <w:pPr>
        <w:jc w:val="both"/>
        <w:ind w:right="540" w:firstLine="324"/>
        <w:spacing w:after="0" w:line="277" w:lineRule="auto"/>
        <w:rPr>
          <w:sz w:val="20"/>
          <w:szCs w:val="20"/>
          <w:color w:val="auto"/>
        </w:rPr>
      </w:pPr>
      <w:r>
        <w:rPr>
          <w:rFonts w:ascii="Arial" w:cs="Arial" w:eastAsia="Arial" w:hAnsi="Arial"/>
          <w:sz w:val="18"/>
          <w:szCs w:val="18"/>
          <w:i w:val="1"/>
          <w:iCs w:val="1"/>
          <w:color w:val="auto"/>
        </w:rPr>
        <w:t>Limitation as to Participation</w:t>
      </w:r>
      <w:r>
        <w:rPr>
          <w:rFonts w:ascii="Arial" w:cs="Arial" w:eastAsia="Arial" w:hAnsi="Arial"/>
          <w:sz w:val="18"/>
          <w:szCs w:val="18"/>
          <w:color w:val="auto"/>
        </w:rPr>
        <w:t>: Under the Share Option Plan, no option will be capable of being granted for more than 10 years from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of the Share Option Plan.</w:t>
      </w:r>
    </w:p>
    <w:p>
      <w:pPr>
        <w:spacing w:after="0" w:line="170" w:lineRule="exact"/>
        <w:rPr>
          <w:sz w:val="20"/>
          <w:szCs w:val="20"/>
          <w:color w:val="auto"/>
        </w:rPr>
      </w:pPr>
    </w:p>
    <w:p>
      <w:pPr>
        <w:jc w:val="both"/>
        <w:ind w:right="540" w:firstLine="324"/>
        <w:spacing w:after="0" w:line="311" w:lineRule="auto"/>
        <w:rPr>
          <w:sz w:val="20"/>
          <w:szCs w:val="20"/>
          <w:color w:val="auto"/>
        </w:rPr>
      </w:pPr>
      <w:r>
        <w:rPr>
          <w:rFonts w:ascii="Arial" w:cs="Arial" w:eastAsia="Arial" w:hAnsi="Arial"/>
          <w:sz w:val="16"/>
          <w:szCs w:val="16"/>
          <w:i w:val="1"/>
          <w:iCs w:val="1"/>
          <w:color w:val="auto"/>
        </w:rPr>
        <w:t>Participation</w:t>
      </w:r>
      <w:r>
        <w:rPr>
          <w:rFonts w:ascii="Arial" w:cs="Arial" w:eastAsia="Arial" w:hAnsi="Arial"/>
          <w:sz w:val="16"/>
          <w:szCs w:val="16"/>
          <w:color w:val="auto"/>
        </w:rPr>
        <w:t>: The conditions for participation in the Share Option Plan, including the time or times at which options may be exercised,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by the remuneration committee and set forth in the applicable option plan documentation. Unless otherwise outlined, the options will be personal to the participant and will lapse if a participant purports to assign, transfer, sell, mortgage, pledge or encumber the option.</w:t>
      </w:r>
    </w:p>
    <w:p>
      <w:pPr>
        <w:spacing w:after="0" w:line="14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i w:val="1"/>
          <w:iCs w:val="1"/>
          <w:color w:val="auto"/>
        </w:rPr>
        <w:t>Termination of Service and Change in Control</w:t>
      </w:r>
      <w:r>
        <w:rPr>
          <w:rFonts w:ascii="Arial" w:cs="Arial" w:eastAsia="Arial" w:hAnsi="Arial"/>
          <w:sz w:val="18"/>
          <w:szCs w:val="18"/>
          <w:color w:val="auto"/>
        </w:rPr>
        <w:t>: In the event of a participant’s termination of employment or service, (1) any part of an option that has</w:t>
      </w:r>
      <w:r>
        <w:rPr>
          <w:rFonts w:ascii="Arial" w:cs="Arial" w:eastAsia="Arial" w:hAnsi="Arial"/>
          <w:sz w:val="18"/>
          <w:szCs w:val="18"/>
          <w:i w:val="1"/>
          <w:iCs w:val="1"/>
          <w:color w:val="auto"/>
        </w:rPr>
        <w:t xml:space="preserve"> </w:t>
      </w:r>
      <w:r>
        <w:rPr>
          <w:rFonts w:ascii="Arial" w:cs="Arial" w:eastAsia="Arial" w:hAnsi="Arial"/>
          <w:sz w:val="18"/>
          <w:szCs w:val="18"/>
          <w:color w:val="auto"/>
        </w:rPr>
        <w:t>not vested as of the date of cessation will lapse immediately, and (2) any part of an option that has vested as at the date of cessation will lapse in full 30 days after the date of cessation to the extent not exercised by such date.</w:t>
      </w:r>
    </w:p>
    <w:p>
      <w:pPr>
        <w:spacing w:after="0" w:line="184"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If a participant dies, the remuneration committee may determine that either the whole or a specified percentage of any option held by such participant at the date of their death will be capable of vesting, or being exercised by or otherwise transferred to their legal personal representative.</w:t>
      </w:r>
    </w:p>
    <w:p>
      <w:pPr>
        <w:spacing w:after="0" w:line="14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the event of a participant’s termination of employment where such participant is considered a good leaver, the remuneration committee may in its absolute discretion determine the extent to which the option may be vested or exercised.</w:t>
      </w:r>
    </w:p>
    <w:p>
      <w:pPr>
        <w:spacing w:after="0" w:line="170"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the event of a change of control that involves a merger, a sale of all or substantially all of the Company’s assets, or a takeover or other reorganization, the remuneration committee will be entitled to, in its discretion, (1) accelerate the vesting of the whole or a specified portion of the options,</w:t>
      </w:r>
    </w:p>
    <w:p>
      <w:pPr>
        <w:ind w:right="120" w:firstLine="8"/>
        <w:spacing w:after="0" w:line="281" w:lineRule="auto"/>
        <w:tabs>
          <w:tab w:leader="none" w:pos="255" w:val="left"/>
        </w:tabs>
        <w:numPr>
          <w:ilvl w:val="0"/>
          <w:numId w:val="88"/>
        </w:numPr>
        <w:rPr>
          <w:rFonts w:ascii="Arial" w:cs="Arial" w:eastAsia="Arial" w:hAnsi="Arial"/>
          <w:sz w:val="16"/>
          <w:szCs w:val="16"/>
          <w:color w:val="auto"/>
        </w:rPr>
      </w:pPr>
      <w:r>
        <w:rPr>
          <w:rFonts w:ascii="Arial" w:cs="Arial" w:eastAsia="Arial" w:hAnsi="Arial"/>
          <w:sz w:val="16"/>
          <w:szCs w:val="16"/>
          <w:color w:val="auto"/>
        </w:rPr>
        <w:t>agree that outstanding options will be assumed or substituted by the surviving company or its parent for options which are equivalent to the options originally granted under the plan but which relate to shares in the surviving company or its parent, (3) arrange for the continuation of outstanding options,</w:t>
      </w:r>
    </w:p>
    <w:p>
      <w:pPr>
        <w:spacing w:after="0" w:line="1" w:lineRule="exact"/>
        <w:rPr>
          <w:rFonts w:ascii="Arial" w:cs="Arial" w:eastAsia="Arial" w:hAnsi="Arial"/>
          <w:sz w:val="16"/>
          <w:szCs w:val="16"/>
          <w:color w:val="auto"/>
        </w:rPr>
      </w:pPr>
    </w:p>
    <w:p>
      <w:pPr>
        <w:ind w:right="600" w:firstLine="8"/>
        <w:spacing w:after="0" w:line="260" w:lineRule="auto"/>
        <w:tabs>
          <w:tab w:leader="none" w:pos="2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make payment of a cash settlement to the participants equal (per share) to the amount to be paid for one share under the agreement of merger or takeover, or (5) vary the outstanding options on such terms as the committee may decide.</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2" w:name="page143"/>
    <w:bookmarkEnd w:id="1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Termination and Amendment</w:t>
      </w:r>
      <w:r>
        <w:rPr>
          <w:rFonts w:ascii="Arial" w:cs="Arial" w:eastAsia="Arial" w:hAnsi="Arial"/>
          <w:sz w:val="18"/>
          <w:szCs w:val="18"/>
          <w:color w:val="auto"/>
        </w:rPr>
        <w:t>: Unless terminated earlier by resolution of the Company or the board of directors, the Share Option Plan will continue for</w:t>
      </w:r>
      <w:r>
        <w:rPr>
          <w:rFonts w:ascii="Arial" w:cs="Arial" w:eastAsia="Arial" w:hAnsi="Arial"/>
          <w:sz w:val="18"/>
          <w:szCs w:val="18"/>
          <w:i w:val="1"/>
          <w:iCs w:val="1"/>
          <w:color w:val="auto"/>
        </w:rPr>
        <w:t xml:space="preserve"> </w:t>
      </w:r>
      <w:r>
        <w:rPr>
          <w:rFonts w:ascii="Arial" w:cs="Arial" w:eastAsia="Arial" w:hAnsi="Arial"/>
          <w:sz w:val="18"/>
          <w:szCs w:val="18"/>
          <w:color w:val="auto"/>
        </w:rPr>
        <w:t>a term of 10 years. Our remuneration committee may at any time by resolution amend or revoke any provision of the Share Option Plan subject to shareholder approval if required by applicable law or stock exchange rules. However, no such action may materially adversely affect the rights of the participant of any options unless agreed to by the participant.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have entered into employment agreements with certain of our executive officers. Each of these agreements provides for an initial salary, and generally requires advance notice of termination, typically three months. Some of our executive officers have agreed to covenants not to compete against us or solicit our employees or customers during employment and for a period of up to 12 months following termination.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Board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of Directors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board of directors is composed of four members. The current members of our board of directors will serve until our first annual general meeting of shareholders as a public company in 2022.</w:t>
      </w:r>
    </w:p>
    <w:p>
      <w:pPr>
        <w:spacing w:after="0" w:line="170"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There is no service contract between any of our directors and either us or our subsidiary, which provides for any benefits upon termination of employment.</w:t>
      </w:r>
    </w:p>
    <w:p>
      <w:pPr>
        <w:spacing w:after="0" w:line="17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are a foreign private issuer under the rules of the SEC. As a result, in accordance with Nasdaq listing requirements, we will continue to rely on home country governance requirements and certain exemptions thereunder rather than on the stock exchange corporate governance requirements. There are no family relationships among any of our directors or executive officers. For an overview of our corporate governance principles, see “Item 10. Additional Information—B. Memorandum and Articles of Association” and “Item 16G—Corporate Governance.”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board of directors has established a separate audit committee, nominating and corporate governance committee and remuneration committee.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audit committee, which consists of Dermot Hanley (chair), Michael Forer and Duncan Moore, assists our board of directors in overseeing our accounting and financial reporting processes and the audits of our financial statements. In addition, the audit committee is directly responsible for the compensation, retention and oversight of the work of our independent registered public accounting firm that our shareholders elect as our external auditors. The audit committee consists exclusively of members of our board of directors who are financially literate, and each of Dermot Hanley, Michael Forer and Duncan Moore is considered an “audit committee financial expert” as defined by the SEC. Our board of directors has determined that each of Dermot Hanley, Michael Forer and Duncan Moore satisfies the “independence” requirements set forth in Rule 10A-3 under the Securities Exchange Act of 1934, as amended.</w:t>
      </w:r>
    </w:p>
    <w:p>
      <w:pPr>
        <w:spacing w:after="0" w:line="19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audit committee is governed by a charter that complies with Nasdaq rules that apply to us. The audit committee has the responsibility for, among other things: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3" w:name="page144"/>
    <w:bookmarkEnd w:id="1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recommending the appointment of the independent auditor to shareholders for approval at the general meeting of shareholders;</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appointment, compensation, retention and oversight of any accounting firm engaged for the purpose of preparing or issuing an audit report or performing other audit services;</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pre-approving the audit services and non-audit services to be provided by our independent auditor before the auditor is engaged to render such services;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evaluating the independent auditor’s qualifications, performance and independence, and presenting its conclusions to the full board of directors on at least an annual basis;</w:t>
      </w:r>
    </w:p>
    <w:p>
      <w:pPr>
        <w:spacing w:after="0" w:line="170"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financial statements and our financial reporting process;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approving or ratifying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The nominating and corporate governance committee, which consists of Florian Schönharting (chair) and Michael Forer, assists our board of directors in identifying individuals qualified to become members of the board of directors and recommends to the board of directors the director nominees for the next annual general meeting of shareholders or to fill an existing or newly created vacancy on the board of directors.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nominating and corporate governance committee has the responsibility for, among other things:</w:t>
      </w:r>
    </w:p>
    <w:p>
      <w:pPr>
        <w:spacing w:after="0" w:line="225"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drawing up selection criteria and appointment procedures for directors;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assessing the functioning of individual members of our board of directors and executive officers and reporting the results of such assessment to our board of directors;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establishing procedures for identifying and evaluating board of director candidates, including nominees recommended by shareholders;</w:t>
      </w:r>
    </w:p>
    <w:p>
      <w:pPr>
        <w:spacing w:after="0" w:line="236" w:lineRule="exact"/>
        <w:rPr>
          <w:rFonts w:ascii="Arial" w:cs="Arial" w:eastAsia="Arial" w:hAnsi="Arial"/>
          <w:sz w:val="17"/>
          <w:szCs w:val="17"/>
          <w:color w:val="auto"/>
        </w:rPr>
      </w:pPr>
    </w:p>
    <w:p>
      <w:pPr>
        <w:ind w:left="660" w:right="280" w:hanging="328"/>
        <w:spacing w:after="0" w:line="277"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the composition of our board of directors to ensure that it is composed of members containing the appropriate skills and expertise to advise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recommending to our board of directors the persons to be nominated for election as directors and to each of our board of directors’ committees;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developing and recommending to our board of directors a code of business conduct and ethics and a set of corporate governance guidelines;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overseeing the evaluation of our board of directors and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Remuneration Committee</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remuneration committee, which consists of Michael Forer (chair) and Florian Schönharting, assists our board of directors in setting the remuneration of the board of directors, executive officers of the company and such other members of senior management as the committee is designated by the board of directors to set remuneration for.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remuneration committee has the responsibility for, among other things:</w:t>
      </w:r>
    </w:p>
    <w:p>
      <w:pPr>
        <w:spacing w:after="0" w:line="225"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identifying, reviewing and proposing policies relevant to the compensation and benefits of our directors and executive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evaluating the performance of senior management in light of such policies and reporting to the board;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overseeing and administering our employee share option scheme or equity incentive plans in operation from time to time.</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4" w:name="page145"/>
    <w:bookmarkEnd w:id="1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Employees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 of December 31, 2021, we had fourteen employees. Twelve employees are engaged in research and development activities with the rest engaged in general administrative functions.</w:t>
      </w:r>
    </w:p>
    <w:p>
      <w:pPr>
        <w:spacing w:after="0" w:line="170" w:lineRule="exact"/>
        <w:rPr>
          <w:sz w:val="20"/>
          <w:szCs w:val="20"/>
          <w:color w:val="auto"/>
        </w:rPr>
      </w:pPr>
    </w:p>
    <w:p>
      <w:pPr>
        <w:ind w:right="520" w:firstLine="324"/>
        <w:spacing w:after="0" w:line="263" w:lineRule="auto"/>
        <w:rPr>
          <w:sz w:val="20"/>
          <w:szCs w:val="20"/>
          <w:color w:val="auto"/>
        </w:rPr>
      </w:pPr>
      <w:r>
        <w:rPr>
          <w:rFonts w:ascii="Arial" w:cs="Arial" w:eastAsia="Arial" w:hAnsi="Arial"/>
          <w:sz w:val="18"/>
          <w:szCs w:val="18"/>
          <w:color w:val="auto"/>
        </w:rPr>
        <w:t>None of our employees are represented by labor unions or covered by collective bargaining agreements. We have not experienced any employee litigation or claims and consider our employee relations to be good. We regularly discuss with our whole team to obtain feedback and ideas for improvement.</w:t>
      </w:r>
    </w:p>
    <w:p>
      <w:pPr>
        <w:spacing w:after="0" w:line="18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Share Ownership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7. Major Shareholders and Related Party Transactions—A. Major Shareholders.”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25" w:lineRule="exact"/>
        <w:rPr>
          <w:sz w:val="20"/>
          <w:szCs w:val="20"/>
          <w:color w:val="auto"/>
        </w:rPr>
      </w:pPr>
    </w:p>
    <w:p>
      <w:pPr>
        <w:ind w:left="320" w:hanging="312"/>
        <w:spacing w:after="0"/>
        <w:tabs>
          <w:tab w:leader="none" w:pos="32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information relating to the beneficial ownership of our ordinary shares as of December 31, 2021:</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ordinary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Except as otherwise indicated, and subject to community property laws where applicable, we believe, based on the information provided to us, that the persons and entities named in the table below have sole voting and investment power with respect to all ordinary shares shown as beneficially owned by them.</w:t>
      </w:r>
    </w:p>
    <w:p>
      <w:pPr>
        <w:spacing w:after="0" w:line="188"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The percentage of beneficial ownership in the table below is based on 52,020,849 ordinary shares outstanding as of December 31, 2021. Options to purchase shares that are exercisable within 60 days are deemed to be beneficially owned by the persons holding these options for the purpose of computing percentage ownership of that person, but are not treated as outstanding for the purpose of computing any other person’s ownership percentage.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2021, to our knowledge, 22 U.S. record holders held approximately 52.8% of our issued and outstanding ordinary shares.</w:t>
      </w:r>
    </w:p>
    <w:p>
      <w:pPr>
        <w:spacing w:after="0" w:line="23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Except as otherwise indicated in the table below, addresses of the directors, executive officers and named beneficial owners are in care of GH Research PLC, 28 Baggot Street Lower, Dublin 2, D02 NX43, Ireland.</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61"/>
        </w:trPr>
        <w:tc>
          <w:tcPr>
            <w:tcW w:w="8540" w:type="dxa"/>
            <w:vAlign w:val="bottom"/>
            <w:gridSpan w:val="2"/>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7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Ordinary</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Ordinary</w:t>
            </w: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10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Beneficially</w:t>
            </w:r>
          </w:p>
        </w:tc>
      </w:tr>
      <w:tr>
        <w:trPr>
          <w:trHeight w:val="241"/>
        </w:trPr>
        <w:tc>
          <w:tcPr>
            <w:tcW w:w="1020" w:type="dxa"/>
            <w:vAlign w:val="bottom"/>
          </w:tcPr>
          <w:p>
            <w:pPr>
              <w:spacing w:after="0"/>
              <w:rPr>
                <w:sz w:val="20"/>
                <w:szCs w:val="20"/>
                <w:color w:val="auto"/>
              </w:rPr>
            </w:pPr>
          </w:p>
        </w:tc>
        <w:tc>
          <w:tcPr>
            <w:tcW w:w="7520" w:type="dxa"/>
            <w:vAlign w:val="bottom"/>
          </w:tcPr>
          <w:p>
            <w:pPr>
              <w:ind w:left="2360"/>
              <w:spacing w:after="0"/>
              <w:rPr>
                <w:sz w:val="20"/>
                <w:szCs w:val="20"/>
                <w:color w:val="auto"/>
              </w:rPr>
            </w:pPr>
            <w:r>
              <w:rPr>
                <w:rFonts w:ascii="Arial" w:cs="Arial" w:eastAsia="Arial" w:hAnsi="Arial"/>
                <w:sz w:val="18"/>
                <w:szCs w:val="18"/>
                <w:b w:val="1"/>
                <w:bCs w:val="1"/>
                <w:color w:val="auto"/>
              </w:rPr>
              <w:t>Principal Shareholders</w:t>
            </w:r>
          </w:p>
        </w:tc>
        <w:tc>
          <w:tcPr>
            <w:tcW w:w="10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Owned</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Owned</w:t>
            </w:r>
          </w:p>
        </w:tc>
      </w:tr>
      <w:tr>
        <w:trPr>
          <w:trHeight w:val="216"/>
        </w:trPr>
        <w:tc>
          <w:tcPr>
            <w:tcW w:w="85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5% or Greater Shareholders</w:t>
            </w:r>
          </w:p>
        </w:tc>
        <w:tc>
          <w:tcPr>
            <w:tcW w:w="1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8540" w:type="dxa"/>
            <w:vAlign w:val="bottom"/>
            <w:gridSpan w:val="2"/>
          </w:tcPr>
          <w:p>
            <w:pPr>
              <w:spacing w:after="0" w:line="256" w:lineRule="exact"/>
              <w:rPr>
                <w:sz w:val="20"/>
                <w:szCs w:val="20"/>
                <w:color w:val="auto"/>
              </w:rPr>
            </w:pPr>
            <w:r>
              <w:rPr>
                <w:rFonts w:ascii="Arial" w:cs="Arial" w:eastAsia="Arial" w:hAnsi="Arial"/>
                <w:sz w:val="18"/>
                <w:szCs w:val="18"/>
                <w:color w:val="auto"/>
              </w:rPr>
              <w:t>Entities affiliated with BVF</w:t>
            </w:r>
            <w:r>
              <w:rPr>
                <w:rFonts w:ascii="Arial" w:cs="Arial" w:eastAsia="Arial" w:hAnsi="Arial"/>
                <w:sz w:val="29"/>
                <w:szCs w:val="29"/>
                <w:color w:val="auto"/>
                <w:vertAlign w:val="superscript"/>
              </w:rPr>
              <w:t>(1)</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9,275,158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r>
      <w:tr>
        <w:trPr>
          <w:trHeight w:val="257"/>
        </w:trPr>
        <w:tc>
          <w:tcPr>
            <w:tcW w:w="8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Entities affiliated with FMR LLC</w:t>
            </w:r>
            <w:r>
              <w:rPr>
                <w:rFonts w:ascii="Arial" w:cs="Arial" w:eastAsia="Arial" w:hAnsi="Arial"/>
                <w:sz w:val="29"/>
                <w:szCs w:val="29"/>
                <w:color w:val="auto"/>
                <w:vertAlign w:val="superscript"/>
              </w:rPr>
              <w:t>(2)</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5,090,566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r>
      <w:tr>
        <w:trPr>
          <w:trHeight w:val="256"/>
        </w:trPr>
        <w:tc>
          <w:tcPr>
            <w:tcW w:w="8540" w:type="dxa"/>
            <w:vAlign w:val="bottom"/>
            <w:gridSpan w:val="2"/>
          </w:tcPr>
          <w:p>
            <w:pPr>
              <w:spacing w:after="0" w:line="256" w:lineRule="exact"/>
              <w:rPr>
                <w:sz w:val="20"/>
                <w:szCs w:val="20"/>
                <w:color w:val="auto"/>
              </w:rPr>
            </w:pPr>
            <w:r>
              <w:rPr>
                <w:rFonts w:ascii="Arial" w:cs="Arial" w:eastAsia="Arial" w:hAnsi="Arial"/>
                <w:sz w:val="18"/>
                <w:szCs w:val="18"/>
                <w:color w:val="auto"/>
              </w:rPr>
              <w:t>Entities affiliated with RA Capital</w:t>
            </w:r>
            <w:r>
              <w:rPr>
                <w:rFonts w:ascii="Arial" w:cs="Arial" w:eastAsia="Arial" w:hAnsi="Arial"/>
                <w:sz w:val="29"/>
                <w:szCs w:val="29"/>
                <w:color w:val="auto"/>
                <w:vertAlign w:val="superscript"/>
              </w:rPr>
              <w:t>(3)</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4,690,237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Theis Terwey</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6,423,900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Magnus Halle</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8540" w:type="dxa"/>
            <w:vAlign w:val="bottom"/>
            <w:gridSpan w:val="2"/>
          </w:tcPr>
          <w:p>
            <w:pPr>
              <w:spacing w:after="0" w:line="256" w:lineRule="exact"/>
              <w:rPr>
                <w:sz w:val="20"/>
                <w:szCs w:val="20"/>
                <w:color w:val="auto"/>
              </w:rPr>
            </w:pPr>
            <w:r>
              <w:rPr>
                <w:rFonts w:ascii="Arial" w:cs="Arial" w:eastAsia="Arial" w:hAnsi="Arial"/>
                <w:sz w:val="18"/>
                <w:szCs w:val="18"/>
                <w:color w:val="auto"/>
              </w:rPr>
              <w:t>Julie Ryan</w:t>
            </w:r>
            <w:r>
              <w:rPr>
                <w:rFonts w:ascii="Arial" w:cs="Arial" w:eastAsia="Arial" w:hAnsi="Arial"/>
                <w:sz w:val="29"/>
                <w:szCs w:val="29"/>
                <w:color w:val="auto"/>
                <w:vertAlign w:val="superscript"/>
              </w:rPr>
              <w:t>(4)</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Florian Schönharting</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15,070,179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w:t>
            </w:r>
          </w:p>
        </w:tc>
      </w:tr>
      <w:tr>
        <w:trPr>
          <w:trHeight w:val="257"/>
        </w:trPr>
        <w:tc>
          <w:tcPr>
            <w:tcW w:w="8540" w:type="dxa"/>
            <w:vAlign w:val="bottom"/>
            <w:gridSpan w:val="2"/>
          </w:tcPr>
          <w:p>
            <w:pPr>
              <w:spacing w:after="0" w:line="256" w:lineRule="exact"/>
              <w:rPr>
                <w:sz w:val="20"/>
                <w:szCs w:val="20"/>
                <w:color w:val="auto"/>
              </w:rPr>
            </w:pPr>
            <w:r>
              <w:rPr>
                <w:rFonts w:ascii="Arial" w:cs="Arial" w:eastAsia="Arial" w:hAnsi="Arial"/>
                <w:sz w:val="18"/>
                <w:szCs w:val="18"/>
                <w:color w:val="auto"/>
              </w:rPr>
              <w:t>Spike Loy</w:t>
            </w:r>
            <w:r>
              <w:rPr>
                <w:rFonts w:ascii="Arial" w:cs="Arial" w:eastAsia="Arial" w:hAnsi="Arial"/>
                <w:sz w:val="29"/>
                <w:szCs w:val="29"/>
                <w:color w:val="auto"/>
                <w:vertAlign w:val="superscript"/>
              </w:rPr>
              <w:t>(5)</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8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Michael Forer</w:t>
            </w:r>
            <w:r>
              <w:rPr>
                <w:rFonts w:ascii="Arial" w:cs="Arial" w:eastAsia="Arial" w:hAnsi="Arial"/>
                <w:sz w:val="29"/>
                <w:szCs w:val="29"/>
                <w:color w:val="auto"/>
                <w:vertAlign w:val="superscript"/>
              </w:rPr>
              <w:t>(6)</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Dermot Hanley</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Duncan Moore</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(8 persons)</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21,654,810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42303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83"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total outstanding ordinary shares.</w:t>
      </w:r>
    </w:p>
    <w:p>
      <w:pPr>
        <w:spacing w:after="0" w:line="225" w:lineRule="exact"/>
        <w:rPr>
          <w:sz w:val="20"/>
          <w:szCs w:val="20"/>
          <w:color w:val="auto"/>
        </w:rPr>
      </w:pPr>
    </w:p>
    <w:p>
      <w:pPr>
        <w:ind w:left="340" w:right="120" w:hanging="332"/>
        <w:spacing w:after="0" w:line="269" w:lineRule="auto"/>
        <w:tabs>
          <w:tab w:leader="none" w:pos="3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Consists of ordinary shares held by Biotechnology Value Fund, L.P. (“BVF”), including ordinary shares held by Biotechnology Value Fund II, L.P. (“BVF2”) and Biotechnology Value Trading Fund OS L.P. (“Trading Fund OS”). BVF (“BVF GP”), as the general partner of BVF, may be deemed to beneficially own the shares beneficially owned by BVF. BVF II GP L.L.C. (“BVF2 GP”), as the general partner of BVF2, may be deemed to beneficially own the shares beneficially owned by BVF2. BVF Partners OS Ltd. (“Partners OS”), as the general partner of Trading Fund OS, may be deemed to beneficially own the shares beneficially owned by Trading Fund OS. BVF GP Holdings L.L.C. (“BVF GPH”), as the sole member of each of BVF GP and BVF2 GP, may be deemed to beneficially own the shares beneficially owned in the aggregate by BVF and BVF2. BVF Partners L.P. (“Partners”), as the general partner of BVF and BVF2, the sole member of Partners OS, and the investment manager of Trading Fund OS, may be deemed to beneficially own the shares beneficially owned in the aggregate by BVF, BVF2 and Trading Fund OS. BVF Inc., as the general partner of Partners, may be deemed to beneficially own the shares beneficially owned by Partners. Mark Lampert, as a director and officer of BVF Inc., may be deemed to beneficially own the shares beneficially owned by BVF Inc. The address of the above persons and entities is 44 Montgomery Street, 40th Floor, San Francisco, CA 94104.</w:t>
      </w:r>
    </w:p>
    <w:p>
      <w:pPr>
        <w:spacing w:after="0" w:line="181" w:lineRule="exact"/>
        <w:rPr>
          <w:rFonts w:ascii="Arial" w:cs="Arial" w:eastAsia="Arial" w:hAnsi="Arial"/>
          <w:sz w:val="17"/>
          <w:szCs w:val="17"/>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solely on the Form 13F Holdings Report filed with the SEC by FMR LLC on February 14, 2022.</w:t>
      </w:r>
    </w:p>
    <w:p>
      <w:pPr>
        <w:spacing w:after="0" w:line="225"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solely on a notification received, pursuant to Irish law, from RA Capital Management, L.P. (“RA Capital”) on March 22, 2022. The ordinary shares are held in funds managed on a discretionary basis by RA Capital.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Excludes options to purchase a total of 50,487 ordinary shares that are not exercisable by Ms. Ryan within 60 days of the date of this Annual Report.</w:t>
      </w:r>
    </w:p>
    <w:p>
      <w:pPr>
        <w:spacing w:after="0" w:line="248" w:lineRule="exact"/>
        <w:rPr>
          <w:rFonts w:ascii="Arial" w:cs="Arial" w:eastAsia="Arial" w:hAnsi="Arial"/>
          <w:sz w:val="16"/>
          <w:szCs w:val="16"/>
          <w:color w:val="auto"/>
        </w:rPr>
      </w:pPr>
    </w:p>
    <w:p>
      <w:pPr>
        <w:jc w:val="both"/>
        <w:ind w:left="340" w:right="400" w:hanging="332"/>
        <w:spacing w:after="0" w:line="263"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Mr. Loy, a Managing Director of BVF Partners LP, disclaims beneficial ownership with respect to the 9,275,158 ordinary shares held of record by entities affiliated with BVF except to the extent of his pecuniary interest therein. See footnote (1). On March 27, 2022, Mr. Loy resigned from our board of directors.</w:t>
      </w:r>
    </w:p>
    <w:p>
      <w:pPr>
        <w:spacing w:after="0" w:line="183"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Does not include 212,850 ordinary shares held by Dune Capital Inc., a company which is wholly owned by a trust whose beneficiaries include Mr. Forer and his family. Mr. Forer does not exercise investment or voting control over the trust, and therefore such shares do not appear in the table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Related Party Transactions</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2019 with any members of our board of directors, our executive officers and the holders of more than 5% of our ordinary shares, other than compensation arrangements which are described under “Item 6. Directors, Senior Management and Employees.”</w:t>
      </w:r>
    </w:p>
    <w:p>
      <w:pPr>
        <w:spacing w:after="0" w:line="18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Unless referring to transactions that took place after our initial public offering or explicitly stated otherwise, the share and per share numbers set forth below under this “—Related Party Transactions” section do not give effect to the Share Consolidation.</w:t>
      </w:r>
    </w:p>
    <w:p>
      <w:pPr>
        <w:sectPr>
          <w:pgSz w:w="11900" w:h="16838" w:orient="portrait"/>
          <w:cols w:equalWidth="0" w:num="1">
            <w:col w:w="11240"/>
          </w:cols>
          <w:pgMar w:left="320" w:top="113" w:right="339" w:bottom="1440"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type w:val="continuous"/>
        </w:sectPr>
      </w:pPr>
    </w:p>
    <w:bookmarkStart w:id="146" w:name="page147"/>
    <w:bookmarkEnd w:id="1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Issuances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Participation in our Initial Public Offering</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connection with our initial public offering in June 2021, certain of our existing shareholders purchased ordinary shares from the underwriters at the initial public offering price of $16.00 per share and on the same terms as other investors in our initial public offering. See “—A. Major Shareholders” above for additional information regarding the beneficial ownership of our ordinary shares by our executive officers, directors and entities known by us to own beneficially 5% or more of our outstanding ordinary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Financing</w:t>
      </w:r>
    </w:p>
    <w:p>
      <w:pPr>
        <w:spacing w:after="0" w:line="225"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In April 2021, we entered into an investment and subscription agreement pursuant to which we issued and sold an aggregate of 25,379,047 Series B preferred shares at an issue price of $4.93 per share for an aggregate purchase price of $125.2 million to certain investors.</w:t>
      </w:r>
    </w:p>
    <w:p>
      <w:pPr>
        <w:spacing w:after="0" w:line="14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following table summarizes the Series B preferred shares purchased by members of our board of directors, executive officers or their affiliates and holders of more than 5% of our outstanding share capital in the initial closings of our Series B Financing. The terms of these purchases were the same for all purchasers of our Series B preferred shares.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Series B Preferred</w:t>
            </w:r>
          </w:p>
        </w:tc>
        <w:tc>
          <w:tcPr>
            <w:tcW w:w="1640" w:type="dxa"/>
            <w:vAlign w:val="bottom"/>
            <w:gridSpan w:val="4"/>
          </w:tcPr>
          <w:p>
            <w:pPr>
              <w:ind w:left="100"/>
              <w:spacing w:after="0"/>
              <w:rPr>
                <w:sz w:val="20"/>
                <w:szCs w:val="20"/>
                <w:color w:val="auto"/>
              </w:rPr>
            </w:pPr>
            <w:r>
              <w:rPr>
                <w:rFonts w:ascii="Arial" w:cs="Arial" w:eastAsia="Arial" w:hAnsi="Arial"/>
                <w:sz w:val="18"/>
                <w:szCs w:val="18"/>
                <w:b w:val="1"/>
                <w:bCs w:val="1"/>
                <w:color w:val="auto"/>
                <w:w w:val="86"/>
              </w:rPr>
              <w:t>Aggregate Purchase</w:t>
            </w:r>
          </w:p>
        </w:tc>
      </w:tr>
      <w:tr>
        <w:trPr>
          <w:trHeight w:val="241"/>
        </w:trPr>
        <w:tc>
          <w:tcPr>
            <w:tcW w:w="7980" w:type="dxa"/>
            <w:vAlign w:val="bottom"/>
          </w:tcPr>
          <w:p>
            <w:pPr>
              <w:ind w:left="3140"/>
              <w:spacing w:after="0"/>
              <w:rPr>
                <w:sz w:val="20"/>
                <w:szCs w:val="20"/>
                <w:color w:val="auto"/>
              </w:rPr>
            </w:pPr>
            <w:r>
              <w:rPr>
                <w:rFonts w:ascii="Arial" w:cs="Arial" w:eastAsia="Arial" w:hAnsi="Arial"/>
                <w:sz w:val="18"/>
                <w:szCs w:val="18"/>
                <w:b w:val="1"/>
                <w:bCs w:val="1"/>
                <w:color w:val="auto"/>
              </w:rPr>
              <w:t>Name of Shareholders</w:t>
            </w:r>
          </w:p>
        </w:tc>
        <w:tc>
          <w:tcPr>
            <w:tcW w:w="120" w:type="dxa"/>
            <w:vAlign w:val="bottom"/>
          </w:tcPr>
          <w:p>
            <w:pPr>
              <w:spacing w:after="0"/>
              <w:rPr>
                <w:sz w:val="20"/>
                <w:szCs w:val="20"/>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Price Paid</w:t>
            </w:r>
          </w:p>
        </w:tc>
      </w:tr>
      <w:tr>
        <w:trPr>
          <w:trHeight w:val="216"/>
        </w:trPr>
        <w:tc>
          <w:tcPr>
            <w:tcW w:w="7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Entities affiliated with BVF</w:t>
            </w:r>
          </w:p>
        </w:tc>
        <w:tc>
          <w:tcPr>
            <w:tcW w:w="12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5,067,701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25,000,002.87</w:t>
            </w:r>
          </w:p>
        </w:tc>
        <w:tc>
          <w:tcPr>
            <w:tcW w:w="20" w:type="dxa"/>
            <w:vAlign w:val="bottom"/>
          </w:tcPr>
          <w:p>
            <w:pPr>
              <w:spacing w:after="0"/>
              <w:rPr>
                <w:sz w:val="18"/>
                <w:szCs w:val="18"/>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Florian Schönharting</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202,699</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999,955.52</w:t>
            </w:r>
          </w:p>
        </w:tc>
        <w:tc>
          <w:tcPr>
            <w:tcW w:w="20" w:type="dxa"/>
            <w:vAlign w:val="bottom"/>
          </w:tcPr>
          <w:p>
            <w:pPr>
              <w:spacing w:after="0"/>
              <w:rPr>
                <w:sz w:val="20"/>
                <w:szCs w:val="20"/>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entered into a registration rights agreement on June 18, 2021 in connection with our initial public offering (referred to herein as the Registration Rights Agreement), pursuant to which our existing shareholders were granted registration rights.</w:t>
      </w:r>
    </w:p>
    <w:p>
      <w:pPr>
        <w:spacing w:after="0" w:line="1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If we become eligible to register the sale of our securities on Form F-3 under the Securities Act, which will not be until at least twelve months after the date of our initial public offering, our existing shareholders have the right to require us to register the sale of the registrable securities held by them on Form F-3, subject to offering size and other restrictions.</w:t>
      </w:r>
    </w:p>
    <w:p>
      <w:pPr>
        <w:spacing w:after="0" w:line="184"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If we propose to register any of our securities under the Securities Act for our own account or the account of any other holder (excluding any registration related to employee benefit plan, a Rule 145 transaction,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 our existing shareholders are entitled to notice of such registration and to request that we include registrable securities for resale on such registration statement, and we are required, subject to certain exceptions, to include such registrable securities in such registration statement.</w:t>
      </w:r>
    </w:p>
    <w:p>
      <w:pPr>
        <w:spacing w:after="0" w:line="178"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In connection with the transfer of their registrable securities, the parties to the Registration Rights Agreement may assign certain of their respective rights under the Registration Rights Agreement under certain circumstances. In connection with the registrations described above, we will indemnify any selling shareholders and we will bear all fees, costs and expenses (except underwriting discounts and spreads).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GH Research OÜ Asset Purchase</w:t>
      </w:r>
    </w:p>
    <w:p>
      <w:pPr>
        <w:spacing w:after="0" w:line="229"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In 2018, we agreed to purchase all of the assets of GH Research OÜ, a private company owned by Florian Schönharting and Theis Terwey, which consisted of certain raw materials and technology as well as data collected from internet databases, for an aggregate consideration of €67 thousand, which was recognized in the fiscal year ended December 31, 2018.</w:t>
      </w: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7" w:name="page148"/>
    <w:bookmarkEnd w:id="1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January 11, 2019, we finalized and executed an asset purchase agreement with GH Research OÜ to memorialize the above-referenced arrangement.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GH Research OÜ was dissolved in August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We have entered into indemnification agreements with our executive officers and directors. The indemnification agreements and our amended and restated articles of association require us to indemnify our executive officers and directors to the fullest extent permitted by law.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have adopted a related person transaction policy, which states that any related person transaction must be approved or ratified by our board of directors or a designated committee thereof. In determining whether to approve or ratify a transaction with a related person, our board of directors or the designated committee will consider all relevant facts and circumstances, including without limitation the commercial reasonableness of the terms, the benefit and perceived benefit, or lack thereof, to us, opportunity costs of alternate transactions, the materiality and character of the related person’s direct or indirect interest and the actual or apparent conflict of interest of the related person. Our board of directors or the designated committee will not approve or ratify a related person transaction unless it has determined that, upon consideration of all relevant information, such transaction is in, or not inconsistent with, our best interests and the best interests of our shareholders.</w:t>
      </w:r>
    </w:p>
    <w:p>
      <w:pPr>
        <w:spacing w:after="0" w:line="17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Interests of Experts and Counsel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25" w:lineRule="exact"/>
        <w:rPr>
          <w:sz w:val="20"/>
          <w:szCs w:val="20"/>
          <w:color w:val="auto"/>
        </w:rPr>
      </w:pPr>
    </w:p>
    <w:p>
      <w:pPr>
        <w:ind w:right="6380" w:firstLine="8"/>
        <w:spacing w:after="0" w:line="503" w:lineRule="auto"/>
        <w:tabs>
          <w:tab w:leader="none" w:pos="355"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 Financial Statements</w:t>
      </w:r>
    </w:p>
    <w:p>
      <w:pPr>
        <w:ind w:left="340"/>
        <w:spacing w:after="0"/>
        <w:rPr>
          <w:sz w:val="20"/>
          <w:szCs w:val="20"/>
          <w:color w:val="auto"/>
        </w:rPr>
      </w:pPr>
      <w:r>
        <w:rPr>
          <w:rFonts w:ascii="Arial" w:cs="Arial" w:eastAsia="Arial" w:hAnsi="Arial"/>
          <w:sz w:val="18"/>
          <w:szCs w:val="18"/>
          <w:color w:val="auto"/>
        </w:rPr>
        <w:t>See “Item 18. Financial Statements,” which contains our financial statements prepared in accordance with IFRS.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From time to time, we may be a party to litigation or subject to claims incident to the ordinary course of business. Although the results of litigation and claims cannot be predicted with certainty, we currently believe that the final outcome of these ordinary course matters will not have a material adverse effect on our results of operations, cash flows and financial position. Regardless of the outcome, litigation can have an adverse impact on us because of defense and settlement costs, diversion of management resources and other factors. We were not a party to any material litigation and did not have material contingency reserves established for any liabilities as of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Dividend Policy</w:t>
      </w:r>
    </w:p>
    <w:p>
      <w:pPr>
        <w:spacing w:after="0" w:line="229"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We have never declared or paid cash dividends on our share capital.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15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Under Irish law, among other things, we may only pay dividends if we have sufficient distributable reserves (on a non-consolidated basis), which are our accumulated realized profits that have not been previously distributed or capitalized, less our accumulated realized losses, so far as such losses have not been previously written off in a reduction or reorganization of capital. In addition, no distribution or dividend may be made if our net assets are not, or if making such distribution or dividend will cause our net assets to not be, equal to or in excess of the aggregate of our called up share capital plus undistributable reserves.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we are an Irish company, Irish dividend withholding tax, or DWT, currently at a rate of 25%, will arise in respect of dividends or other distributions to our shareholders unless an exemption applies. There are exemptions that may be available to U.S. Holders (as defined in “Item 10. Additional Information—E. Taxation”); such shareholders should consult their respective tax advisors. Where DWT arises, we are responsible for deducting DWT at source and accounting for the relevant amount to the Revenue Commissioners of Ireland. See “Item 10. Additional Information—B. Memorandum and Articles of Association.”</w:t>
      </w:r>
    </w:p>
    <w:p>
      <w:pPr>
        <w:spacing w:after="0" w:line="18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Significant Changes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discussion of the significant changes in our business can be found under “Item 4. Information on the Company—A. History and Development of the Company” and “Item 4. Information on the Company—B. Business Overview.”</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225" w:lineRule="exact"/>
        <w:rPr>
          <w:sz w:val="20"/>
          <w:szCs w:val="20"/>
          <w:color w:val="auto"/>
        </w:rPr>
      </w:pPr>
    </w:p>
    <w:p>
      <w:pPr>
        <w:ind w:left="340" w:right="8720" w:hanging="332"/>
        <w:spacing w:after="0" w:line="563" w:lineRule="auto"/>
        <w:tabs>
          <w:tab w:leader="none" w:pos="326"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Offering and Listing Details </w:t>
      </w:r>
      <w:r>
        <w:rPr>
          <w:rFonts w:ascii="Arial" w:cs="Arial" w:eastAsia="Arial" w:hAnsi="Arial"/>
          <w:sz w:val="16"/>
          <w:szCs w:val="16"/>
          <w:color w:val="auto"/>
        </w:rPr>
        <w:t>See “—C. Markets” below.</w:t>
      </w:r>
    </w:p>
    <w:p>
      <w:pPr>
        <w:ind w:left="360" w:hanging="352"/>
        <w:spacing w:after="0"/>
        <w:tabs>
          <w:tab w:leader="none" w:pos="3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7"/>
          <w:szCs w:val="17"/>
          <w:b w:val="1"/>
          <w:bCs w:val="1"/>
          <w:color w:val="auto"/>
        </w:rPr>
        <w:t>Markets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ordinary shares are listed on the Nasdaq Global Market, under the symbol “GHRS.”</w:t>
      </w:r>
    </w:p>
    <w:p>
      <w:pPr>
        <w:spacing w:after="0" w:line="221" w:lineRule="exact"/>
        <w:rPr>
          <w:sz w:val="20"/>
          <w:szCs w:val="20"/>
          <w:color w:val="auto"/>
        </w:rPr>
      </w:pPr>
    </w:p>
    <w:p>
      <w:pPr>
        <w:ind w:left="340" w:right="9300" w:hanging="332"/>
        <w:spacing w:after="0" w:line="601" w:lineRule="auto"/>
        <w:tabs>
          <w:tab w:leader="none" w:pos="326" w:val="left"/>
        </w:tabs>
        <w:numPr>
          <w:ilvl w:val="0"/>
          <w:numId w:val="9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Selling Shareholders </w:t>
      </w:r>
      <w:r>
        <w:rPr>
          <w:rFonts w:ascii="Arial" w:cs="Arial" w:eastAsia="Arial" w:hAnsi="Arial"/>
          <w:sz w:val="15"/>
          <w:szCs w:val="15"/>
          <w:color w:val="auto"/>
        </w:rPr>
        <w:t>Not applicable.</w:t>
      </w:r>
    </w:p>
    <w:p>
      <w:pPr>
        <w:ind w:left="360" w:hanging="352"/>
        <w:spacing w:after="0"/>
        <w:tabs>
          <w:tab w:leader="none" w:pos="3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5"/>
          <w:szCs w:val="15"/>
          <w:b w:val="1"/>
          <w:bCs w:val="1"/>
          <w:color w:val="auto"/>
        </w:rPr>
        <w:t>Expenses of the Issue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ADDITIONAL INFORMATION</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Share Capital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Memorandum and Articles of Association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Exhibit 2.1 to this Annual Report, which contains a description of our ordinary shares and our Constitution, is incorporated herein.</w:t>
      </w:r>
    </w:p>
    <w:p>
      <w:pPr>
        <w:spacing w:after="0" w:line="22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Material Contracts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Except as otherwise disclosed in this Annual Report (including the Exhibits), we are not currently, and have not been in the last two years, party to any material contract, other than contracts entered into in the ordinary course of business.</w:t>
      </w:r>
    </w:p>
    <w:p>
      <w:pPr>
        <w:spacing w:after="0" w:line="16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Exchange Controls</w:t>
      </w:r>
    </w:p>
    <w:p>
      <w:pPr>
        <w:spacing w:after="0" w:line="229"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Under the laws of Ireland, except as indicated below, there are currently no restrictions on the export or import of capital, including foreign exchange controls or restrictions that affect the remittance of dividends, interest or other payments to non-resident holders of our ordinary shares.</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9" w:name="page150"/>
    <w:bookmarkEnd w:id="1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Financial Transfers Act, 1992 gives power to the Minister for Finance of Ireland to make provision for the restriction of financial transfer between Ireland and other countries and persons. Financial transfers are broadly defined, and include all transfer which would be movements of capital or payments within the meaning of the treaties governing the European Communities. The acquisition or disposal of shares issued by an Irish incorporated company and associated payments may fall within this definition. In addition, dividends or payments on redemption or purchase of shares and payments on a liquidation of an Irish incorporated company would fall within this definition.</w:t>
      </w:r>
    </w:p>
    <w:p>
      <w:pPr>
        <w:spacing w:after="0" w:line="18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Financial Transfers Act, 1992 prohibits financial transfers involving a number of persons, entities and bodies, which is subject to amendment on an ongoing, regular basis and currently includes, but is not limited to: certain persons and activities in Belarus, Bosnia &amp; Herzegovina, Burundi, Sudan, South Sudan, the Central African Republic, Libya, Lebanon, Mali, the Democratic People’s Republic of Korea, Myanmar/Burma, Tunisia, Zimbabwe, Venezuela, certain persons, entities and bodies in Syrian Arab Republic, the Republic of Guinea-Bissau, Nicaragua, Democratic Republic of Congo, Iran, Ukraine, associated with the Taliban in Afghanistan; associated with ISIL (Da’esh) and Al-Qaeda; associated with Turkey’s unauthorized drilling activities in the Eastern Mediterranean and certain known terrorists and terrorist groups and countries that harbor certain terrorist groups, without the prior permission of the Central Bank of Ireland.</w:t>
      </w:r>
    </w:p>
    <w:p>
      <w:pPr>
        <w:spacing w:after="0" w:line="19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Taxation</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discussion is based on the tax laws, regulations and regulatory practices of the United States and Ireland as in effect on the date hereof, which are subject to change (or subject to changes in interpretation), possibly with retroactive effect.</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Current and prospective shareholders are advised to consult their own tax advisers in light of their particular circumstances as to the U.S. or Irish tax laws, regulations and regulatory practices that could be relevant for them in connection with owning and selling or otherwise disposing of our ordinary shares and receiving dividends and similar cash or in-kind distributions on our ordinary shares (including dividends on liquidation proceeds and share dividends) or distributions on our ordinary shares based upon a capital reduction or reserves paid out of capital contributions and the consequences thereof under the tax laws, regulations and regulatory practices of the United States or Ireland.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for U.S. Holders</w:t>
      </w:r>
    </w:p>
    <w:p>
      <w:pPr>
        <w:spacing w:after="0" w:line="229"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The following is a description of the material U.S. federal income tax consequences to U.S. Holders, as defined below, of owning and disposing our ordinary shares. It does not describe all tax consequences that may be relevant to a particular person’s decision to acquire ordinary shares.</w:t>
      </w:r>
    </w:p>
    <w:p>
      <w:pPr>
        <w:spacing w:after="0" w:line="12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This discussion applies only to a U.S. Holder that holds ordinary shares as capital assets for U.S. federal income tax purposes (generally, property held for investment). In addition, it does not describe any tax consequences other than U.S. federal income tax consequences, including state and local tax consequences and estate tax consequences, and does not describe all of the U.S. federal income tax consequences that may be relevant in light of the U.S. Holder’s particular circumstances, including alternative minimum tax consequences, the potential application of the provisions of the Code known as the Medicare contribution tax, special tax accounting rules under Section 451(b) of the Code, and tax consequences applicable to U.S. Holders subject to special rules, such as:</w:t>
      </w:r>
    </w:p>
    <w:p>
      <w:pPr>
        <w:spacing w:after="0" w:line="192"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certain banks, insurance companies and other financial institutions;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brokers, dealers or traders in securities who use a mark-to-market method of tax accounting;</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persons holding ordinary shares as part of a straddle, wash sale, conversion transaction or other integrated transaction or persons entering into a constructive sale with respect to the ordinary shares;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entities or arrangements classified as partnerships or S corporations for U.S. federal income tax purposes (and investors therein);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 or governmental entities;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0" w:name="page151"/>
    <w:bookmarkEnd w:id="1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former U.S. citizens or long-term residents of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persons that own or are deemed to own 10% or more of the voting power or value of our shares; or</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persons holding ordinary shares in connection with a trade or business conducted outside of the United States or in connection with a permanent establishment or other fixed place of business outside of the United States.</w:t>
      </w:r>
    </w:p>
    <w:p>
      <w:pPr>
        <w:spacing w:after="0" w:line="170"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ordinary shares, the U.S. federal income tax treatment of a partner will generally depend on the status of the partner and the activities of the partnership. Partnerships holding ordinary shares and partners in such partnerships should consult their tax advisers as to the particular U.S. federal income tax consequences of owning and disposing of the ordinary shares in their circumstances.</w:t>
      </w:r>
    </w:p>
    <w:p>
      <w:pPr>
        <w:spacing w:after="0" w:line="187"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Ireland and the United States (the “Treaty”), all as of the date hereof, any of which is subject to change or differing interpretations, possibly with retroactive effect.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“U.S. Holder” is a holder who, for U.S. federal income tax purposes, is a beneficial owner of ordinary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Treaty and who is:</w:t>
      </w:r>
    </w:p>
    <w:p>
      <w:pPr>
        <w:spacing w:after="0" w:line="211"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Treasury regulations that apply to taxable years beginning on or after December 28, 2021 may in some circumstances prohibit a U.S. person from claiming a foreign tax credit with respect to certain non-U.S. taxes that are not creditable under applicable income tax treaties. Accordingly, U.S. investors that are not eligible for Treaty benefits should consult their tax advisers regarding the creditability or deductibility of any non-U.S. taxes imposed on them. This discussion does not apply to investors in this special situation. U.S. Holders should consult their tax advisers concerning the U.S. federal, state, local and non-U.S. tax consequences of owning and disposing of ordinary shares in their particular circumstances.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Except where otherwise indicated, this discussion assumes that we are not, and will not become, a PFIC, as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As discussed above under “Item 8. Financial Information—A. Consolidated Statements and Other Financial Information—Dividends and Dividend Policy,” we do not currently expect to make distributions on our ordinary shares. In the event that we do make distributions of cash or other property, distributions paid on ordinary shares, other than certain pro rata distributions of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Subject to the discussion under “—Passive Foreign Investment Company Rules” below, for so long as our ordinary shares are listed on Nasdaq or we are eligible for benefits under the Treaty, dividends paid to certain non-corporate U.S. Holders will be eligible for taxation as “qualified dividend income” and therefore, subject to applicable holding period requirements, will be taxable at rates not in excess of the long-term capital gain rate applicable to such U.S. Holder.</w:t>
      </w:r>
    </w:p>
    <w:p>
      <w:pPr>
        <w:spacing w:after="0" w:line="19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amount of a dividend will include any amounts withheld by us in respect of Irish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1" w:name="page152"/>
    <w:bookmarkEnd w:id="1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Irish income taxes withheld from dividends on ordinary shares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Irish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Other Disposition of Ordinary Shares</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Gain or loss realized by a U.S. Holder on the sale or other disposition of ordinary shares will be capital gain or loss, and will be long-term capital gain or loss if the U.S. Holder’s holding period for such ordinary shares was more than one year as of the date of the sale or other disposition. The amount of the gain or loss will equal the difference between the U.S. Holder’s tax basis in the ordinary shares disposed of and the amount realized on the disposition, in each case as determined in U.S. dollars. Long-term capital gain recognized by a non-corporate U.S. Holder is subject to U.S. federal income tax at rates lower than the rates applicable to ordinary income and short-term capital gains, while short-term capital gains are subject to U.S. federal income tax at the rates applicable to ordinary income. This gain or loss will generally be U.S.-source gain or loss for foreign tax credit purposes. The deductibility of capital losses is subject to various limitations.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225"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Under the Code, we will be a PFIC for any taxable year in which, after the application of certain “look-through” rules with respect to our subsidiaries, either (i) 75% or more of our gross income consists of “passive income,” or (ii) 50% or more of the average quarterly value of our assets consists of assets that produce, or are held for the production of, “passive income.” For purposes of the calculations above,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 Based on our current operations, income, assets and certain estimates and projections, including as to the relative values of our assets, including goodwill, which is based on the price of our ordinary shares, we do not believe that we were a PFIC for our 2021 taxable year. However, whether we were a PFIC in 2021, and whether we will be a PFIC in 2022 or any future year, is uncertain because, among other things, (i) we hold a substantial amount of cash, which is generally categorized as a passive asset; (ii) our PFIC status for any taxable year will depend on the composition of our income and assets and the value of our assets from time to time (which may be determined, in part, by reference to the market price of our ordinary shares, which could be volatile),</w:t>
      </w:r>
    </w:p>
    <w:p>
      <w:pPr>
        <w:spacing w:after="0" w:line="5" w:lineRule="exact"/>
        <w:rPr>
          <w:sz w:val="20"/>
          <w:szCs w:val="20"/>
          <w:color w:val="auto"/>
        </w:rPr>
      </w:pPr>
    </w:p>
    <w:p>
      <w:pPr>
        <w:ind w:right="120" w:firstLine="8"/>
        <w:spacing w:after="0" w:line="268" w:lineRule="auto"/>
        <w:tabs>
          <w:tab w:leader="none" w:pos="31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law applicable to determining whether the categorization of our goodwill as active or passive is subject to varying interpretation, and (iv) even a small amount of “passive income” earned by us, such as interest on a tax refund or vendor deposit, can cause our “passive income” to be in excess of 75% of our gross income because we do not currently have active income. Accordingly, there can be no assurance that we were not be a PFIC in 2021. Additionally, we expect to generate interest income (which is passive income for purposes of PFIC) in 2022 (and possibly beyond 2022), and therefore, there is a significant risk that we will be a PFIC in 2022 or any subsequent year. If we are a PFIC for any year during which a U.S. Holder holds ordinary shares, we would generally continue to be treated as a PFIC with respect to such holder for all succeeding years during which such holder holds ordinary shares, even if we ceased to meet the threshold requirements for PFIC status. Prospective investors should invest in our ordinary shares only if they are willing to bear the U.S. federal income tax consequences associated with an investment in a PFIC.</w:t>
      </w:r>
    </w:p>
    <w:p>
      <w:pPr>
        <w:spacing w:after="0" w:line="18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If we were a PFIC for any taxable year and any of our subsidiaries or other companies in which we owned or were treated as owning equity interests were also a PFIC (any such entity, a “Lower-tier PFIC”), a U.S. Holder would be deemed to own a proportionate amount (by value) of the shares of each Lower-tier PFIC and would be subject to U.S. federal income tax according to the rules described in the subsequent paragraph on (i) certain distributions by a Lower-tier PFIC; and (ii) dispositions of shares of Lower-tier PFICs, in each case as if such holder held such shares directly, even though such holder will not have received the proceeds of those distributions or dispositions.</w:t>
      </w:r>
    </w:p>
    <w:p>
      <w:pPr>
        <w:spacing w:after="0" w:line="18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If we were a PFIC for any taxable year during which a U.S. Holder held any of our ordinary shares, such holder would generally be subject to adverse tax consequences. Generally, gain recognized upon a disposition (including, under certain circumstances, a pledge) of ordinary shares would be allocated ratably over a U.S. Holder’s holding period for the ordinary shares. The amounts allocated to the taxable year of disposition and to years before we became a PFIC would be taxed as ordinary income. The amount allocated to each other taxable year would be subject to tax at the highest rate in effect for that taxable year for individuals or corporations, as appropriate, and an interest charge would be imposed on the tax on such amount. Further, to the extent that any distributions received on a U.S. Holder’s ordinary shares during a taxable year exceeded 125% of the average of the annual distributions on those shares during the preceding three years or such holder’s holding period, whichever was shorter, those distributions would be subject to taxation in the same manner as gain.</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Alternatively, if we were a PFIC and if the ordinary shares were “regularly traded” on a “qualified exchange,” a U.S. Holder may avoid the general PFIC tax consequences discussed above if such U.S. Holder makes a mark-to-market election with respect to the ordinary shares at the close of the first taxable year in which such holder holds our ordinary shares. Nasdaq, on which the ordinary shares are listed, is a qualified exchange for this purpose. Once made, the election cannot be revoked without the consent of the Internal Revenue Service, or the IRS, unless the shares cease to be marketable.</w:t>
      </w:r>
    </w:p>
    <w:p>
      <w:pPr>
        <w:spacing w:after="0" w:line="157"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If a U.S. Holder makes the mark-to-market election with respect to the first taxable year that we are a PFIC, such holder will generally recognize as ordinary income any excess of the fair market value of such holder’s ordinary shares at the end of each taxable year in which we are a PFIC over their adjusted tax basis, and will recognize an ordinary loss in respect of any excess of the adjusted tax basis of the ordinary shares over their fair market value at the end of such taxable year (but only to the extent of the net amount of income previously included as a result of the mark-to-market election). The U.S. Holder’s tax basis in their ordinary shares will be adjusted to reflect these income or loss amounts. Any gain recognized on the sale or other disposition of ordinary shares in a year when we are a PFIC will be treated as ordinary income and any loss will be treated as an ordinary loss (but only to the extent of the net amount of income previously included as a result of the mark-to-market election). Any gain or loss recognized on the sale or other disposition of ordinary shares in a year when we are not a PFIC will generally be taxed in the manner described above under “—Sale or Other Disposition of Ordinary Shares.” Subject to the discussion in the immediately succeeding paragraph, any distributions will generally be taxed in a manner described above under “—Taxation of Distributions.” This election will not apply to any of our non-U.S. subsidiaries. Accordingly, a U.S. Holder may continue to be subject to tax under the PFIC excess distribution regime with respect to any Lower-tier PFICs notwithstanding a mark-to-market election for the ordinary shares.</w:t>
      </w:r>
    </w:p>
    <w:p>
      <w:pPr>
        <w:spacing w:after="0" w:line="17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addition, if we were a PFIC for any taxable year in which we paid a dividend or for the prior taxable year, the preferential dividend rates discussed above with respect to dividends paid to certain non-corporate U.S. Holders would not apply.</w:t>
      </w:r>
    </w:p>
    <w:p>
      <w:pPr>
        <w:spacing w:after="0" w:line="170"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If a company that is a PFIC provides certain information to U.S. Holders, a U.S. Holder can then avoid certain adverse tax consequences described above by making a “qualified electing fund” election to be taxed currently on its proportionate share of the PFIC’s ordinary income and net capital gains.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 Holders should consult their tax advisers regarding whether we are a PFIC and the potential application of the PFIC rules.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If a U.S. Holder owns ordinary shares during any year in which we are a PFIC or in which we hold a direct or indirect equity interest in a Lower-tier PFIC, the U.S. Holder generally must file an annual report on IRS Form 8621 with respect to each such PFIC containing such information as the U.S. Treasury may require, generally with the U.S. Holder’s U.S. federal income tax return for the relevant year. A U.S. Holder’s failure to file the annual report will cause the statute of limitations for such U.S. Holder’s U.S. federal income tax return to remain open with respect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w:t>
      </w:r>
    </w:p>
    <w:p>
      <w:pPr>
        <w:spacing w:after="0" w:line="174"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PROSPECTIVE U.S. HOLDERS SHOULD CONSULT THEIR TAX ADVISERS REGARDING THE CONSEQUENCES OF OUR POTENTIAL PFIC STATUS ON AN INVESTMENT IN ORDINARY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3" w:name="page154"/>
    <w:bookmarkEnd w:id="1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an interest in our ordinary shares, subject to certain exceptions (including an exception for ordinary shares held in accounts maintained by certain U.S. financial institutions). U.S. Holders should consult their tax advisers regarding the effect, if any, of this legislation on their ownership and disposition of the ordinary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Irish Tax Consequences</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following is a summary of the material Irish tax consequences for certain beneficial holders of ordinary shares. The summary is based upon Irish tax laws and the practice of the Revenue Commissioners of Ireland in effect on the date of this Annual Report and correspondence with the Revenue Commissioners of Ireland. Changes in law and/or administrative practice may result in alteration of the tax considerations described below, possibly with retrospective effect.</w:t>
      </w:r>
    </w:p>
    <w:p>
      <w:pPr>
        <w:spacing w:after="0" w:line="187"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The summary does not constitute tax advice and is intended only as a general guide. The summary is not exhaustive and holders of ordinary shares should consult their own tax advisors about the Irish tax consequences (and the tax consequences under the laws of other relevant jurisdictions) related to the acquisition, ownership and disposal of ordinary shares. The summary applies only to shareholders who will own ordinary shares as capital assets and does not apply to other categories of shareholders, such as dealers in securities, trustees, insurance companies, collective investment schemes and shareholders who have, or who are deemed to have, acquired ordinary shares by virtue of an Irish office or employment (performed or carried on in Ireland).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or Chargeable Gains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current rate of tax on chargeable gains (where applicable) in Ireland is 33%.</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 disposal of our ordinary shares by a shareholder who is not resident or ordinarily resident for tax purposes in Ireland will not give rise to Irish tax on any chargeable gain realized on such disposal unless such ordinary shares are used in or for the purposes of a trade carried on by such shareholder in Ireland through a branch or agency, are used or held or acquired for use by or for the purposes of such a branch or agency, or the shares derive the greater part of their value from Irish land.</w:t>
      </w:r>
    </w:p>
    <w:p>
      <w:pPr>
        <w:spacing w:after="0" w:line="187"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A holder of our ordinary shares who is an individual and who is temporarily non-resident in Ireland may, under Irish anti-avoidance legislation, be liable to Irish tax on any chargeable gain realized on a disposal of our ordinary shares during the period in which such individual is non-resident.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Stamp Duty</w:t>
      </w:r>
    </w:p>
    <w:p>
      <w:pPr>
        <w:spacing w:after="0" w:line="225"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A transfer of shares of GH Research PLC from a seller who holds shares beneficially (i.e., through DTC) to a buyer who holds the acquired shares through DTC will not be subject to Irish stamp duty (unless the transfer involves a change in the nominee that is the record holder of the transferred shares).</w:t>
      </w:r>
    </w:p>
    <w:p>
      <w:pPr>
        <w:spacing w:after="0" w:line="18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 transfer of shares of GH Research PLC by a seller who holds shares directly to any buyer, or by a seller who holds the shares beneficially to a buyer who holds the acquired shares directly, may be subject to Irish stamp duty (currently at the rate of 1% of the price paid or the market value of the shares acquired, if higher). Stamp duty is a liability of the buyer or transferee. A shareholder who holds shares of GH Research PLC directly may transfer those shares into his or her own broker account (or vice versa) without giving rise to Irish stamp duty provided there is no change in the ultimate beneficial ownership of the shares as a result of the transfer and the transfer is not in contemplation of a sale of the shares. In order to benefit from this exemption from stamp duty, the seller must confirm to GH Research PLC’s transfer agent that there is no change in the ultimate beneficial ownership of the shares as a result of the transfer and the transfer is not in contemplation of a sale of the shares.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4" w:name="page155"/>
    <w:bookmarkEnd w:id="1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Because of the potential Irish stamp duty on transfers of shares of GH Research PLC, any person who wishes to acquire shares of GH Research PLC should consider acquiring such shares through DTC.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Withholding Tax on Dividends</w:t>
      </w:r>
    </w:p>
    <w:p>
      <w:pPr>
        <w:spacing w:after="0" w:line="225"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We do not expect to pay dividends for the foreseeable future. To the extent that we do make dividend payments (or other returns to shareholders that are treated as “distributions” for Irish tax purposes), it should be noted that such distributions made by us will, in the absence of one of many exemptions, be subject to Irish dividend withholding tax, which is referred to in this Annual Report as DWT, currently at a rate of 25%.</w:t>
      </w:r>
    </w:p>
    <w:p>
      <w:pPr>
        <w:spacing w:after="0" w:line="16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For DWT purposes, a distribution includes any distribution that may be made by us to our shareholders, including cash dividends, non-cash dividends and additional stock taken in lieu of a cash dividend. Where an exemption does not apply in respect of a distribution made to a particular shareholder, we are responsible for withholding DWT prior to making such distribution.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Exemptions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general overview of the scenarios where it will be possible for us to make payments of dividends without deduction of DWT.</w:t>
      </w:r>
    </w:p>
    <w:p>
      <w:pPr>
        <w:spacing w:after="0" w:line="237"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Irish domestic law provides that a non-Irish resident shareholder is not subject to DWT on dividends received from us if such shareholder is beneficially entitled to the dividend and is either:</w:t>
      </w:r>
    </w:p>
    <w:p>
      <w:pPr>
        <w:spacing w:after="0" w:line="170" w:lineRule="exact"/>
        <w:rPr>
          <w:sz w:val="20"/>
          <w:szCs w:val="20"/>
          <w:color w:val="auto"/>
        </w:rPr>
      </w:pPr>
    </w:p>
    <w:p>
      <w:pPr>
        <w:ind w:left="660" w:hanging="328"/>
        <w:spacing w:after="0" w:line="254"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person (not being a company) resident for tax purposes in a Relevant Territory (including the United States) and is neither resident nor ordinarily resident in Ireland (the current list of Relevant Territories for DWT purposes are: Albania, Armenia, Australia, Austria, Bahrain, Belarus, Belgium, Bosnia &amp; Herzegovina, Botswana, Bulgaria, Canada, Chile, China, Croatia, Cyprus, Czech Republic, Denmark, Egypt, Estonia, Ethiopia, Finland, France, Georgia, Germany, Ghana, Greece, Hong Kong, Hungary, Iceland, India, Israel, Italy, Japan, Kazakhstan, Kenya, Korea, Kosovo, Kuwait, Latvia, Lithuania, Luxembourg, Macedonia, Malaysia, Malta, Mexico, Moldova, Montenegro, Morocco, Netherlands, New Zealand, Norway, Pakistan, Panama, Poland, Portugal, Qatar, Romania, Russia, Saudi Arabia, Serbia, Singapore, Slovak Republic, Slovenia, South Africa, Spain, Sweden, Switzerland, Thailand, The Republic Of Turkey, Ukraine, United Arab Emirates, United Kingdom, United States, Uzbekistan, Vietnam and Zambia);</w:t>
      </w:r>
    </w:p>
    <w:p>
      <w:pPr>
        <w:spacing w:after="0" w:line="191"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company which is not resident for tax purposes in Ireland but is resident for tax purposes in a Relevant Territory, provided such company is not under the control, whether directly or indirectly, of a person or persons who is or are resident in Ireland;</w:t>
      </w:r>
    </w:p>
    <w:p>
      <w:pPr>
        <w:spacing w:after="0" w:line="170" w:lineRule="exact"/>
        <w:rPr>
          <w:rFonts w:ascii="Arial" w:cs="Arial" w:eastAsia="Arial" w:hAnsi="Arial"/>
          <w:sz w:val="18"/>
          <w:szCs w:val="18"/>
          <w:color w:val="auto"/>
        </w:rPr>
      </w:pPr>
    </w:p>
    <w:p>
      <w:pPr>
        <w:ind w:left="660" w:right="280" w:hanging="328"/>
        <w:spacing w:after="0" w:line="342" w:lineRule="auto"/>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company, which is not resident for tax purposes in Ireland, that is controlled, directly or indirectly, by persons resident in a Relevant Territory and who is or are (as the case may be) not controlled by, directly or indirectly, persons who are not resident in a Relevant Territory;</w:t>
      </w:r>
    </w:p>
    <w:p>
      <w:pPr>
        <w:spacing w:after="0" w:line="123" w:lineRule="exact"/>
        <w:rPr>
          <w:rFonts w:ascii="Arial" w:cs="Arial" w:eastAsia="Arial" w:hAnsi="Arial"/>
          <w:sz w:val="16"/>
          <w:szCs w:val="16"/>
          <w:color w:val="auto"/>
        </w:rPr>
      </w:pPr>
    </w:p>
    <w:p>
      <w:pPr>
        <w:ind w:left="660" w:right="260" w:hanging="328"/>
        <w:spacing w:after="0" w:line="263"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company, which is not resident for tax purposes in Ireland, whose principal class of shares (or those of its 75% direct or indirect parent) is substantially and regularly traded on a stock exchange in Ireland, on a recognized stock exchange in a Relevant Territory or on such other stock exchange approved by the Irish Minister for Finance; or</w:t>
      </w:r>
    </w:p>
    <w:p>
      <w:pPr>
        <w:spacing w:after="0" w:line="183" w:lineRule="exact"/>
        <w:rPr>
          <w:rFonts w:ascii="Arial" w:cs="Arial" w:eastAsia="Arial" w:hAnsi="Arial"/>
          <w:sz w:val="18"/>
          <w:szCs w:val="18"/>
          <w:color w:val="auto"/>
        </w:rPr>
      </w:pPr>
    </w:p>
    <w:p>
      <w:pPr>
        <w:jc w:val="both"/>
        <w:ind w:left="660" w:right="380" w:hanging="328"/>
        <w:spacing w:after="0" w:line="286" w:lineRule="auto"/>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 company, which is not resident for tax purposes in Ireland, that is wholly owned, directly or indirectly, by two or more companies where the principal class of shares of each of such companies is substantially and regularly traded on a stock exchange in Ireland, on a recognized stock exchange in a Relevant Territory or on such other stock exchange approved by the Irish Minister for Finance,</w:t>
      </w:r>
    </w:p>
    <w:p>
      <w:pPr>
        <w:spacing w:after="0" w:line="16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and provided, in all cases noted above, we have received from the shareholder, where required, the relevant DWT Form(s) prior to the payment of the dividend and such DWT Form(s) remain valid.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5" w:name="page156"/>
    <w:bookmarkEnd w:id="1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For non-Irish resident shareholders that cannot avail themselves of one of Ireland’s domestic law exemptions from DWT, it may be possible for such shareholders to rely on the provisions of a double tax treaty to which Ireland is party to reduce the rate of DWT.</w:t>
      </w:r>
    </w:p>
    <w:p>
      <w:pPr>
        <w:spacing w:after="0" w:line="17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shareholders that do not fall within any of the categories specifically referred to above may nonetheless fall within other exemptions from DWT (subject if required to certain administrative obligations being satisfied). If any shareholders are exempt from DWT, but receive dividends subject to DWT, such shareholders may apply for refunds of such DWT from the Revenue Commissioners of Ireland.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on Dividends Paid on our Ordinary Shares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Irish income tax may arise for certain persons in respect of dividends received from Irish resident companies. A shareholder that is not resident or, in the case of individuals, ordinarily resident in Ireland and that is entitled to an exemption from DWT generally has no liability to Irish income tax or the universal social charge on a dividend received from us. An exception to this position may apply where such shareholder holds our ordinary shares through a branch or agency in Ireland through which a trade is carried on.</w:t>
      </w:r>
    </w:p>
    <w:p>
      <w:pPr>
        <w:spacing w:after="0" w:line="18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A shareholder that is not resident or ordinarily resident in Ireland and that is not entitled to an exemption from DWT generally has no additional Irish income tax liability or a liability to the universal social charge. The DWT deducted by us discharges the liability to income tax. An exception to this position may apply where the shareholder holds our ordinary shares through a branch or agency in Ireland through which a trade is carried 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Acquisitions Tax</w:t>
      </w:r>
    </w:p>
    <w:p>
      <w:pPr>
        <w:spacing w:after="0" w:line="225"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Irish capital acquisitions tax, or CAT, comprises principally gift tax and inheritance tax. CAT could apply to a gift or inheritance of our ordinary shares irrespective of the place of residence, ordinary residence or domicile of the parties. This is because our ordinary shares are regarded as property situated in Ireland for Irish CAT purposes as our share register must be held in Ireland. The person who receives the gift or inheritance has primary liability for CAT.</w:t>
      </w:r>
    </w:p>
    <w:p>
      <w:pPr>
        <w:spacing w:after="0" w:line="149"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CAT is levied at a rate of 33% above certain tax-free thresholds. The appropriate tax free threshold is dependent upon (i) the relationship between the donor and the donee, and (ii) the aggregation of the values of previous taxable gifts and taxable inheritances received by the donee from persons within the same group threshold. Gifts and inheritances passing between spouses of the same marriage or civil partners of the same civil partnership are exempt from CAT. Children have a tax free threshold of €335 thousand in respect of taxable gifts or inheritances received from their parents. Our shareholders should consult their own tax advisors as to whether CAT is creditable or deductible in computing any domestic tax liabilities.</w:t>
      </w:r>
    </w:p>
    <w:p>
      <w:pPr>
        <w:spacing w:after="0" w:line="16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There is also a “small gift exemption” from CAT whereby the first €3,000 of the taxable value of all taxable gifts taken by a donee from any one donor, in each calendar year, is exempt from CAT and is also excluded from any future aggregation. This exemption does not apply to an inheritance.</w:t>
      </w:r>
    </w:p>
    <w:p>
      <w:pPr>
        <w:spacing w:after="0" w:line="120" w:lineRule="exact"/>
        <w:rPr>
          <w:sz w:val="20"/>
          <w:szCs w:val="20"/>
          <w:color w:val="auto"/>
        </w:rPr>
      </w:pPr>
    </w:p>
    <w:p>
      <w:pPr>
        <w:jc w:val="center"/>
        <w:ind w:left="340" w:right="240"/>
        <w:spacing w:after="0" w:line="266" w:lineRule="auto"/>
        <w:rPr>
          <w:sz w:val="20"/>
          <w:szCs w:val="20"/>
          <w:color w:val="auto"/>
        </w:rPr>
      </w:pPr>
      <w:r>
        <w:rPr>
          <w:rFonts w:ascii="Arial" w:cs="Arial" w:eastAsia="Arial" w:hAnsi="Arial"/>
          <w:sz w:val="18"/>
          <w:szCs w:val="18"/>
          <w:b w:val="1"/>
          <w:bCs w:val="1"/>
          <w:color w:val="auto"/>
        </w:rPr>
        <w:t>THE IRISH TAX CONSIDERATIONS SUMMARIZED ABOVE ARE FOR GENERAL INFORMATION ONLY. HOLDERS OF OUR ORDINARY SHARES SHOULD CONSULT WITH THEIR TAX ADVISORS REGARDING THE TAX CONSEQUENCES IN IRELAND, INCLUDING RELATING TO THE ACQUISITION, OWNERSHIP AND DISPOSAL OF OUR ORDINARY SHARES.</w:t>
      </w:r>
    </w:p>
    <w:p>
      <w:pPr>
        <w:spacing w:after="0" w:line="176" w:lineRule="exact"/>
        <w:rPr>
          <w:sz w:val="20"/>
          <w:szCs w:val="20"/>
          <w:color w:val="auto"/>
        </w:rPr>
      </w:pPr>
    </w:p>
    <w:p>
      <w:pPr>
        <w:ind w:left="340" w:right="8640" w:hanging="332"/>
        <w:spacing w:after="0" w:line="500" w:lineRule="auto"/>
        <w:tabs>
          <w:tab w:leader="none" w:pos="334"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340" w:right="9240" w:hanging="332"/>
        <w:spacing w:after="0" w:line="563" w:lineRule="auto"/>
        <w:tabs>
          <w:tab w:leader="none" w:pos="336"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ind w:left="320" w:hanging="312"/>
        <w:spacing w:after="0"/>
        <w:tabs>
          <w:tab w:leader="none" w:pos="32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6" w:name="page157"/>
    <w:bookmarkEnd w:id="15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20-F and reports on Form 6-K. The SEC maintains an Internet site at www.sec.gov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95"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Additionally, pursuant to Irish law, copies of this Annual Report and any information which has been or may be incorporated by reference in this Annual Report, shall be available for inspection by any shareholder of record without charge at all reasonable times at our registered office at 28 Baggot Street Lower, Dublin 2, D02 NX43, Ireland.</w:t>
      </w:r>
    </w:p>
    <w:p>
      <w:pPr>
        <w:spacing w:after="0" w:line="1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also make available on our website, free of charge, our Annual Report and the text of our reports on Form 6-K, including any amendments to these reports, as well as certain other SEC filings, as soon as reasonably practicable after they are electronically filed with or furnished to the SEC. Our website address is www.ghres.com. The reference to our website is an inactive textual reference only, and information contained therein or connected thereto is not incorporated into this Annual Report.</w:t>
      </w:r>
    </w:p>
    <w:p>
      <w:pPr>
        <w:spacing w:after="0" w:line="183"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information on our subsidiary, see “Item 4. Information on the Company—C. Organizational Structure,” and Exhibit 8.1 to this Annual Report.</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2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We operate internationally and are exposed to foreign exchange risk arising from various currency exposures, primarily with respect to euro and pounds sterling.</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Transaction exposure arises because the amount of local currency paid or received in transactions denominated in foreign currencies may vary due to changes in exchange rates. Foreign exchange risk arises from:</w:t>
      </w:r>
    </w:p>
    <w:p>
      <w:pPr>
        <w:spacing w:after="0" w:line="170"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forecast expenses denominated in a currency other than the entity’s functional currency;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recognized assets and liabilities denominated in a currency other than the entity’s functional currency.</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cash and cash equivalents are predominantly maintained in U.S. dollar and we are exposed to foreign exchange risk in our subsidiary as its functional currency is euro. Our subsidiary holds significant cash deposits denominated in U.S. dollar. Accordingly, future changes in the exchange rates of euro and the U.S. dollar will expose the Group to currency gains or losses that will impact the reported amounts of assets, liabilities, income and expenses and the impact could be material.</w:t>
      </w:r>
    </w:p>
    <w:p>
      <w:pPr>
        <w:spacing w:after="0" w:line="18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For the year ended December 31, 2021, we recognized a foreign exchange gain of $5.9 million (2020: $nil). The foreign exchange gain was primarily related to the U.S. dollar cash holding of our subsidiary and the associated strengthening of the U.S. dollar compared to euro during the year. While we benefited from changes in foreign exchange rates in 2021, it is possible that foreign exchange losses could occur. Any occurrences of foreign exchange losses would negatively affect us and the effect could be material.</w:t>
      </w:r>
    </w:p>
    <w:p>
      <w:pPr>
        <w:spacing w:after="0" w:line="187"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We do not believe there is currently a need to enter into specific contracts to reduce the exposure to changes in foreign exchange rates, such as by entering into options or forward contracts. We may in the future consider using options or forward contracts to manage currency transaction exposures.</w:t>
      </w:r>
    </w:p>
    <w:p>
      <w:pPr>
        <w:spacing w:after="0" w:line="12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At December 31, 2021, if the U.S. dollar had weakened / strengthened by 10% against the euro with all other variables held constant, the pre-tax loss for the year would have been $10 million higher / lower, mainly related to the translation of cash held in U.S. dollar in our subsidiary, GH Research Ireland Limited, whose functional currency is euro (2020: $nil higher / lower).</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7" w:name="page158"/>
    <w:bookmarkEnd w:id="1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Credit risk is the risk that a counterparty will not meet its obligations under a financial instrument or customer contract, leading to a financial loss. We are not currently exposed to credit risk except on our cash and cash equivalents. Our cash balance is maintained with well established, highly rated financial institutions. As of December 31, 2021, the cash balance is held at one bank that has S&amp;P’s credit rating of BBB+. We do not invest in equity instruments or derivatives.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29"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Liquidity risk is the risk that we may not be able to generate sufficient cash resources to settle our obligations in full as they fall due or can do so only on terms that are materially disadvantageous. Prudent liquidity risk management implies maintaining sufficient cash to cover working capital requirements. Cash is monitored by management.</w:t>
      </w:r>
    </w:p>
    <w:p>
      <w:pPr>
        <w:spacing w:after="0" w:line="184"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Funding and liquidity risks are reviewed regularly by our board of directors and management. We fund our capital requirements through capital raising.</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tab/>
        <w:t>DESCRIPTION OF SECURITIES OTHER THAN EQUITY SECURITIES</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Debt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Warrants and Rights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Other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American Depositary Shares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tab/>
        <w:t>MATERIAL MODIFICATIONS TO THE RIGHTS OF SECURITY HOLDERS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Disclosure Controls and Procedures</w:t>
      </w:r>
    </w:p>
    <w:p>
      <w:pPr>
        <w:spacing w:after="0" w:line="22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Company’s management, with the participation of the Company’s Chief Executive Officer and Vice President, Finance, has evaluated the effectiveness of the Company’s disclosure controls and procedures (as defined in Exchange Act Rule 13a-15) as of December 31, 2021. Based on such evaluations, our Chief Executive Officer and Vice President, Finance, have concluded that these disclosure controls and procedures were not effective in recording, processing, summarizing and reporting on a timely basis, information required to be disclosed in the periodic filings that we file or submit under the Exchange Act, and that such information is accumulated and communicated to management, including our Chief Executive Officer and Vice President, Finance,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8" w:name="page159"/>
    <w:bookmarkEnd w:id="15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connection with the preparation of our financial statements for the years ended December 31, 2019 and 2020, we identified material weaknesses in our internal control over financial reporting. Specifically, we determined that we lack a sufficient number of trained professionals with an appropriate level of accounting knowledge, training and experience to: (a) design and maintain formal accounting policies, procedures and controls over the fair presentation of our financial statements and (b) design and maintain controls over the preparation and review of account reconciliations, journal entries and financial statements, including maintaining appropriate segregation of duties. These control deficiencies did not result in a material misstatement to the financial statements. However, each of these control deficiencies could result in a misstatement of our accounts or disclosures that would result in a material misstatement of our annual or interim financial statements that would not be prevented or detected, and accordingly, we determined that these control deficiencies constitute material weaknesses.</w:t>
      </w:r>
    </w:p>
    <w:p>
      <w:pPr>
        <w:spacing w:after="0" w:line="17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connection with the preparation of our financial statements for the years ended December 31, 2021, we identified material weaknesses in our internal control over financial reporting. Specifically, we determined that we lack a sufficient number of trained professionals with an appropriate level of accounting knowledge, training and experience to: (a) design and maintain formal accounting policies, procedures and controls over the fair presentation of our financial statements and (b) design and maintain controls over the preparation and review of account reconciliations, journal entries and financial statements, including maintaining appropriate segregation of duties and controls over information technology systems.</w:t>
      </w:r>
    </w:p>
    <w:p>
      <w:pPr>
        <w:spacing w:after="0" w:line="1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These control deficiencies did not result in a material misstatement to the financial statements. However, each of these control deficiencies could result in a misstatement of our accounts or disclosures that would result in a material misstatement of our annual or interim financial statements that would not be prevented or detected, and accordingly, we determined that these control deficiencies constitute material weaknesses.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Plans</w:t>
      </w:r>
    </w:p>
    <w:p>
      <w:pPr>
        <w:spacing w:after="0" w:line="229"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Prior to the completion of our initial public offering in 2021, we were a private company with limited accounting personnel to adequately execute our accounting processes and other supervisory resources with which to address our internal control over financial reporting. We are progressing with the activities necessary to implement the appropriate accounting policies, processes and controls required to comply with Section 404 of the Sarbanes-Oxley Act and are in the process of recruiting an experienced finance team, which is further supported by appropriately qualified external advisers, formalizing information technology systems, implementing financial systems and implementing improved processes and internal controls.</w:t>
      </w:r>
    </w:p>
    <w:p>
      <w:pPr>
        <w:spacing w:after="0" w:line="17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Management’s Annual Report on Internal Control Over Financial Reporting</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due to a transition period established by rules of the SEC for newly public companies.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59" w:name="page160"/>
    <w:bookmarkEnd w:id="15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Attestation Report of the Registered Public Accounting Firm</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due to a transition period established by rules of the SEC for newly public companies and because we are an emerging growth company under the JOBS Act.</w:t>
      </w:r>
    </w:p>
    <w:p>
      <w:pPr>
        <w:spacing w:after="0" w:line="16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Changes in Internal Control Over Financial Reporting</w:t>
      </w:r>
    </w:p>
    <w:p>
      <w:pPr>
        <w:spacing w:after="0" w:line="229"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There were no changes to internal control over financial reporting (as defined in Exchange Act Rule 13a-15) during the year ended December 31, 2021 that would have materially affected, or are reasonably likely to materially affect, our internal control over financial reporting.</w:t>
      </w:r>
    </w:p>
    <w:p>
      <w:pPr>
        <w:spacing w:after="0" w:line="1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29"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color w:val="auto"/>
        </w:rPr>
        <w:t>Our board of directors has determined that each of Dermot Hanley, Michael Forer and Duncan Moore is considered an “audit committee financial expert” as defined by the SEC. Our board of directors has determined that each of Dermot Hanley, Michael Forer and Duncan Moore satisfies the “independence” requirements set forth in Rule 10A-3 under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have adopted a Code of Business Conduct and Ethics, or the Code of Ethics, that is applicable to all of our employees, executive officers and directors. The Code of Ethics is available on our website www.ghres.com. The audit committee of our board of directors is responsible for overseeing the Code of Ethics and is required to approve any waivers of the Code of Ethics for employees, executive officers and directors. We expect that any amendments to the Code of Ethics, or any waivers of its requirements, will be disclosed on our website. For the year ended December 31, 2021, we did not grant any waivers of the Code of Ethics.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2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For the year ended December 31, 2020, PricewaterhouseCoopers SA acted as our independent registered public accounting firm. For the year ended December 31, 2021, PricewaterhouseCoopers, the Irish member firm of PricewaterhouseCoopers International Limited, acted as our independent registered public accounting firm.</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“PwC Entities” means PricewaterhouseCoopers, the auditor of the Company, as well as all of the foreign entities belonging to the PwC network.</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approximate fees for services rendered by PwC Entities for the year ended December 31, 2021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SA for the year ended December 31, 2020:</w:t>
      </w:r>
    </w:p>
    <w:p>
      <w:pPr>
        <w:spacing w:after="0" w:line="200" w:lineRule="exact"/>
        <w:rPr>
          <w:sz w:val="20"/>
          <w:szCs w:val="20"/>
          <w:color w:val="auto"/>
        </w:rPr>
      </w:pPr>
    </w:p>
    <w:p>
      <w:pPr>
        <w:spacing w:after="0" w:line="223" w:lineRule="exact"/>
        <w:rPr>
          <w:sz w:val="20"/>
          <w:szCs w:val="20"/>
          <w:color w:val="auto"/>
        </w:rPr>
      </w:pPr>
    </w:p>
    <w:p>
      <w:pPr>
        <w:jc w:val="center"/>
        <w:ind w:left="8720"/>
        <w:spacing w:after="0"/>
        <w:rPr>
          <w:sz w:val="20"/>
          <w:szCs w:val="20"/>
          <w:color w:val="auto"/>
        </w:rPr>
      </w:pPr>
      <w:r>
        <w:rPr>
          <w:rFonts w:ascii="Arial" w:cs="Arial" w:eastAsia="Arial" w:hAnsi="Arial"/>
          <w:sz w:val="18"/>
          <w:szCs w:val="18"/>
          <w:b w:val="1"/>
          <w:bCs w:val="1"/>
          <w:color w:val="auto"/>
        </w:rPr>
        <w:t>For the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17145</wp:posOffset>
            </wp:positionV>
            <wp:extent cx="158623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jc w:val="center"/>
        <w:ind w:left="87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17145</wp:posOffset>
            </wp:positionV>
            <wp:extent cx="158623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9120"/>
        <w:spacing w:after="0"/>
        <w:tabs>
          <w:tab w:leader="none" w:pos="1046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 USD thousands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Audit fees</w:t>
            </w:r>
          </w:p>
        </w:tc>
        <w:tc>
          <w:tcPr>
            <w:tcW w:w="1140" w:type="dxa"/>
            <w:vAlign w:val="bottom"/>
          </w:tcPr>
          <w:p>
            <w:pPr>
              <w:jc w:val="right"/>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18"/>
                <w:szCs w:val="18"/>
                <w:color w:val="auto"/>
              </w:rPr>
            </w:pPr>
          </w:p>
        </w:tc>
      </w:tr>
      <w:tr>
        <w:trPr>
          <w:trHeight w:val="223"/>
        </w:trPr>
        <w:tc>
          <w:tcPr>
            <w:tcW w:w="8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fees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b w:val="1"/>
                <w:bCs w:val="1"/>
                <w:color w:val="auto"/>
              </w:rPr>
              <w:t>Total Fees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18"/>
                <w:szCs w:val="18"/>
                <w:color w:val="auto"/>
              </w:rPr>
            </w:pPr>
          </w:p>
        </w:tc>
      </w:tr>
      <w:tr>
        <w:trPr>
          <w:trHeight w:val="21"/>
        </w:trPr>
        <w:tc>
          <w:tcPr>
            <w:tcW w:w="8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Audit fees include the standard audit work performed each fiscal year necessary to allow the auditor to issue an opinion on our consolidated financial statements and to issue a report on our local statutory financial statements. Audit fees also include services that can be provided only by the external auditor such as reviews of quarterly financial results and consents and comfort letters and any other audit services required for SEC or other regulatory filings.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0" w:name="page161"/>
    <w:bookmarkEnd w:id="16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Tax fees are fees billed for professional services for tax compliance, tax advice and tax planning.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Policies and Procedures</w:t>
      </w:r>
    </w:p>
    <w:p>
      <w:pPr>
        <w:spacing w:after="0" w:line="225" w:lineRule="exact"/>
        <w:rPr>
          <w:sz w:val="20"/>
          <w:szCs w:val="20"/>
          <w:color w:val="auto"/>
        </w:rPr>
      </w:pPr>
    </w:p>
    <w:p>
      <w:pPr>
        <w:jc w:val="both"/>
        <w:ind w:right="520" w:firstLine="324"/>
        <w:spacing w:after="0" w:line="275" w:lineRule="auto"/>
        <w:rPr>
          <w:sz w:val="20"/>
          <w:szCs w:val="20"/>
          <w:color w:val="auto"/>
        </w:rPr>
      </w:pPr>
      <w:r>
        <w:rPr>
          <w:rFonts w:ascii="Arial" w:cs="Arial" w:eastAsia="Arial" w:hAnsi="Arial"/>
          <w:sz w:val="17"/>
          <w:szCs w:val="17"/>
          <w:color w:val="auto"/>
        </w:rPr>
        <w:t>In accordance with the requirements of the U.S. Sarbanes-Oxley Act of 2002 and rules issued by the SEC, our audit committee reviews and pre-approves all audit and permitted non-audit services performed by our independent registered public accounting firm. The procedures require that all proposed future engagements of our independent registered public accounting firm for audit and permitted non-audit work are submitted to our audit committee for approval prior to the beginning of any such service. In accordance with this policy, all services performed by and all fees paid to PwC Entities after our initial public offering were approved by our audit committee, following its 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See “Item 6. Directors, Senior Management and Employees—C. Board Practices—Audit Committee” and “Item 16A. Audit Committee Financial Experts.”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During the year ended December 31, 2021, no purchases of our equity securities were made by or on behalf of GH Research PLC or any affiliated purchaser.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previously disclosed in our current report on Form 6-K furnished on November 22, 2021, following GH Research PLC’s initial public offering and related corporate reorganization as an Irish PLC, on August 24, 2021, we agreed that PricewaterhouseCoopers (referred to herein as PwC Ireland), the Irish member firm of PricewaterhouseCoopers International Limited, would succeed PricewaterhouseCoopers SA as our independent registered public accounting firm and, accordingly, we dismissed PricewaterhouseCoopers SA. The decision to change our independent registered public accounting firm was approved by our audit committee.</w:t>
      </w:r>
    </w:p>
    <w:p>
      <w:pPr>
        <w:spacing w:after="0" w:line="188"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report of PricewaterhouseCoopers SA on the financial statements of GH Research Ireland Limited for the fiscal years ended December 31, 2020 and 2019 did not contain an adverse opinion or disclaimer of opinion and was not qualified or modified as to uncertainty, audit scope or accounting principles.</w:t>
      </w:r>
    </w:p>
    <w:p>
      <w:pPr>
        <w:spacing w:after="0" w:line="18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During the fiscal years ended December 31, 2020 and 2019 and the subsequent interim period through August 24, 2021, there have been no disagreements with PricewaterhouseCoopers SA on any matter of accounting principles or practices, financial statement disclosure, or auditing scope or procedure, which disagreements, if not resolved to the satisfaction of PricewaterhouseCoopers SA, would have caused it to make reference thereto in their report on the financial statements for such years.</w:t>
      </w:r>
    </w:p>
    <w:p>
      <w:pPr>
        <w:spacing w:after="0" w:line="187"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During the fiscal years ended December 31, 2020 and 2019 and the subsequent interim period through August 24, 2021 , there were “reportable events” as that term is defined in Item 16F(a)(1)(v)(A)-(D) of Form 20-F, as follows: material weaknesses were identified that related to the lack of a sufficient number of trained professionals with an appropriate level of accounting knowledge training and experience to: (a) design and maintain formal accounting policies, procedures and controls over the fair presentation of our financial statements; and (b) design and maintain controls over the preparation and review of account reconciliations, journal entries and financial statements, including maintaining appropriate segregation of duties.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requested that PricewaterhouseCoopers SA furnish us with a letter addressed to the SEC stating whether or not it agrees with the above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copy of such letter, dated March 28, 2022, is filed as Exhibit 16.1 to this Annual Report.</w:t>
      </w:r>
    </w:p>
    <w:p>
      <w:pPr>
        <w:spacing w:after="0" w:line="21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did not consult PwC Ireland during our two most recent fiscal years ended December 31, 2020 and 2019 and the subsequent interim period through August 24, 2021, regarding (i) the application of accounting principles to a specified transaction, either completed or proposed, or the type of audit opinion that might be rendered on our financial statements; or (ii) any matter that was the subject of a disagreement as that term is used in Item 16F(a)(1)(iv) of Form 20-F or a “reportable event” as described in Item 16F(a)(1)(v) of Form 20-F.</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1" w:name="page162"/>
    <w:bookmarkEnd w:id="1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2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As a “foreign private issuer,” as defined by the SEC, we are permitted, consistent with Nasdaq Stock Market Rule 5615(a)(3), to follow home country corporate governance practices, instead of certain corporate governance standards required by Nasdaq for U.S. companies. Accordingly, we follow Irish corporate governance rules in lieu of certain of Nasdaq’s corporate governance requirements. A foreign private issuer that elects to follow a home country practice instead of any of any such Nasdaq requirements must submit to Nasdaq, in advance, a written statement from an independent counsel in such issuer’s home country certifying that the issuer’s practices are not prohibited by the home country’s laws. We provided Nasdaq with such a letter of non-compliance with respect to:</w:t>
      </w:r>
    </w:p>
    <w:p>
      <w:pPr>
        <w:spacing w:after="0" w:line="192" w:lineRule="exact"/>
        <w:rPr>
          <w:sz w:val="20"/>
          <w:szCs w:val="20"/>
          <w:color w:val="auto"/>
        </w:rPr>
      </w:pPr>
    </w:p>
    <w:p>
      <w:pPr>
        <w:ind w:left="660" w:right="120" w:hanging="328"/>
        <w:spacing w:after="0" w:line="342" w:lineRule="auto"/>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Rule requiring maintaining a majority of independent directors (Rule 5605(b)(1)). Although we currently maintain a majority of independent directors, we may follow Irish law and practice in the future, under which we are not required to appoint a majority of independent directors.</w:t>
      </w:r>
    </w:p>
    <w:p>
      <w:pPr>
        <w:spacing w:after="0" w:line="123" w:lineRule="exact"/>
        <w:rPr>
          <w:rFonts w:ascii="Arial" w:cs="Arial" w:eastAsia="Arial" w:hAnsi="Arial"/>
          <w:sz w:val="16"/>
          <w:szCs w:val="16"/>
          <w:color w:val="auto"/>
        </w:rPr>
      </w:pPr>
    </w:p>
    <w:p>
      <w:pPr>
        <w:ind w:left="660" w:right="580" w:hanging="328"/>
        <w:spacing w:after="0" w:line="308" w:lineRule="auto"/>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Rule requiring that our independent directors have regularly scheduled meetings at which only independent directors are present (Rule 5605(b)(2)). Instead, we follow Irish law according to which independent directors are not required to hold executive sessions.</w:t>
      </w:r>
    </w:p>
    <w:p>
      <w:pPr>
        <w:spacing w:after="0" w:line="146" w:lineRule="exact"/>
        <w:rPr>
          <w:rFonts w:ascii="Arial" w:cs="Arial" w:eastAsia="Arial" w:hAnsi="Arial"/>
          <w:sz w:val="17"/>
          <w:szCs w:val="17"/>
          <w:color w:val="auto"/>
        </w:rPr>
      </w:pPr>
    </w:p>
    <w:p>
      <w:pPr>
        <w:ind w:left="660" w:right="180" w:hanging="328"/>
        <w:spacing w:after="0" w:line="27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Rule regarding independent director oversight of director nominations process for directors (Rule 5605(e)). Instead, we follow Irish law and practice according to which our board of directors recommends directors for election/re-election by our shareholders.</w:t>
      </w:r>
    </w:p>
    <w:p>
      <w:pPr>
        <w:spacing w:after="0" w:line="170" w:lineRule="exact"/>
        <w:rPr>
          <w:rFonts w:ascii="Arial" w:cs="Arial" w:eastAsia="Arial" w:hAnsi="Arial"/>
          <w:sz w:val="18"/>
          <w:szCs w:val="18"/>
          <w:color w:val="auto"/>
        </w:rPr>
      </w:pPr>
    </w:p>
    <w:p>
      <w:pPr>
        <w:jc w:val="both"/>
        <w:ind w:left="660" w:hanging="328"/>
        <w:spacing w:after="0" w:line="287" w:lineRule="auto"/>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requirement to obtain shareholder approval for the establishment or amendment of certain equity based compensation plans (Rule 5635(c)), an issuance that will result in a change of control of the company (Rule 5635(b)), certain transactions other than a public offering involving issuances of a 20% or more interest in the company (Rule 5635(d)) and certain acquisitions of the stock or assets of another company (Rule 5635(a)).</w:t>
      </w:r>
    </w:p>
    <w:p>
      <w:pPr>
        <w:spacing w:after="0" w:line="2" w:lineRule="exact"/>
        <w:rPr>
          <w:rFonts w:ascii="Arial" w:cs="Arial" w:eastAsia="Arial" w:hAnsi="Arial"/>
          <w:sz w:val="16"/>
          <w:szCs w:val="16"/>
          <w:color w:val="auto"/>
        </w:rPr>
      </w:pPr>
    </w:p>
    <w:p>
      <w:pPr>
        <w:ind w:left="660" w:right="140"/>
        <w:spacing w:after="0" w:line="290" w:lineRule="auto"/>
        <w:rPr>
          <w:rFonts w:ascii="Arial" w:cs="Arial" w:eastAsia="Arial" w:hAnsi="Arial"/>
          <w:sz w:val="16"/>
          <w:szCs w:val="16"/>
          <w:color w:val="auto"/>
        </w:rPr>
      </w:pPr>
      <w:r>
        <w:rPr>
          <w:rFonts w:ascii="Arial" w:cs="Arial" w:eastAsia="Arial" w:hAnsi="Arial"/>
          <w:sz w:val="17"/>
          <w:szCs w:val="17"/>
          <w:color w:val="auto"/>
        </w:rPr>
        <w:t>Instead, we follow Irish law and practice in approving such procedures, according to which Board approval may suffice in certain circumstances, depending on the extent existing general authorities to issue shares are in place in accordance with our Constitution.</w:t>
      </w:r>
    </w:p>
    <w:p>
      <w:pPr>
        <w:spacing w:after="0" w:line="161" w:lineRule="exact"/>
        <w:rPr>
          <w:rFonts w:ascii="Arial" w:cs="Arial" w:eastAsia="Arial" w:hAnsi="Arial"/>
          <w:sz w:val="16"/>
          <w:szCs w:val="16"/>
          <w:color w:val="auto"/>
        </w:rPr>
      </w:pPr>
    </w:p>
    <w:p>
      <w:pPr>
        <w:ind w:left="660" w:right="200" w:hanging="328"/>
        <w:spacing w:after="0" w:line="286" w:lineRule="auto"/>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Rule requiring a compensation committee consisting of at least two independent directors (Rule 5605(d)(2)). We have a compensation committee, which we refer to as the remuneration committee, and to preserve greater flexibility over whom we may appoint to the remuneration committee, we instead follow Irish law which does not require us to have an independent compensation committee.</w:t>
      </w:r>
    </w:p>
    <w:p>
      <w:pPr>
        <w:spacing w:after="0" w:line="165" w:lineRule="exact"/>
        <w:rPr>
          <w:rFonts w:ascii="Arial" w:cs="Arial" w:eastAsia="Arial" w:hAnsi="Arial"/>
          <w:sz w:val="17"/>
          <w:szCs w:val="17"/>
          <w:color w:val="auto"/>
        </w:rPr>
      </w:pPr>
    </w:p>
    <w:p>
      <w:pPr>
        <w:ind w:left="660" w:right="380" w:hanging="328"/>
        <w:spacing w:after="0" w:line="27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Rule requiring a quorum of 33 1/3% at any meeting of shareholders (Rule 5620(c)). Instead, we follow the provisions of our Constitution which require a quorum of 25%.</w:t>
      </w:r>
    </w:p>
    <w:p>
      <w:pPr>
        <w:spacing w:after="0" w:line="170"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Under Nasdaq Stock Market Rule 5605(b)(1), in general a majority of our board of directors must qualify as “independent directors” within the meaning of Nasdaq Stock Market Rule 5605(a)(2) and our audit committee must have at least three members and be comprised only of independent directors, each of whom satisfies the respective “independence” requirements of Nasdaq and the SEC. Our board of directors has determined that each of Michael Forer, Dermot Hanley and Duncan Moore qualifies as an independent director under the requirements of Nasdaq and the SEC.</w:t>
      </w:r>
    </w:p>
    <w:p>
      <w:pPr>
        <w:spacing w:after="0" w:line="157"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do not have a “diverse” board of directors as defined in Nasdaq Rule 5605(f). We are a clinical-stage company with four directors, and are thus deemed to be a “company with a smaller board” as defined in Nasdaq Rule 5605(f)(2)(D). As a result of being a clinical-stage company, there has not yet been an opportunity to consider “diverse” candidates. That being said, we believe in having a diverse workforce and will consider “diverse” director candidates when an opportunity arises.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16I.</w:t>
        <w:tab/>
        <w:t>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2" w:name="page163"/>
    <w:bookmarkEnd w:id="16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17.</w:t>
        <w:tab/>
        <w:t>FINANCIAL STATEMENTS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responded to Item 18 in lieu of this item.</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18.</w:t>
        <w:tab/>
        <w:t>FINANCIAL STATEMENTS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Financial Statements are filed as part of this Annual Report, beginning on page F-1.</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19.</w:t>
        <w:tab/>
        <w:t>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part of this Annual Report.</w:t>
      </w:r>
    </w:p>
    <w:p>
      <w:pPr>
        <w:spacing w:after="0" w:line="200" w:lineRule="exact"/>
        <w:rPr>
          <w:sz w:val="20"/>
          <w:szCs w:val="20"/>
          <w:color w:val="auto"/>
        </w:rPr>
      </w:pPr>
    </w:p>
    <w:p>
      <w:pPr>
        <w:spacing w:after="0" w:line="210"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61"/>
        </w:trPr>
        <w:tc>
          <w:tcPr>
            <w:tcW w:w="1080" w:type="dxa"/>
            <w:vAlign w:val="bottom"/>
            <w:gridSpan w:val="5"/>
          </w:tcPr>
          <w:p>
            <w:pPr>
              <w:spacing w:after="0"/>
              <w:rPr>
                <w:rFonts w:ascii="Arial" w:cs="Arial" w:eastAsia="Arial" w:hAnsi="Arial"/>
                <w:sz w:val="14"/>
                <w:szCs w:val="14"/>
                <w:i w:val="1"/>
                <w:iCs w:val="1"/>
                <w:color w:val="0000EE"/>
                <w:w w:val="95"/>
              </w:rPr>
            </w:pPr>
            <w:hyperlink w:anchor="page3">
              <w:r>
                <w:rPr>
                  <w:rFonts w:ascii="Arial" w:cs="Arial" w:eastAsia="Arial" w:hAnsi="Arial"/>
                  <w:sz w:val="14"/>
                  <w:szCs w:val="14"/>
                  <w:i w:val="1"/>
                  <w:iCs w:val="1"/>
                  <w:color w:val="0000EE"/>
                  <w:w w:val="95"/>
                </w:rPr>
                <w:t>Table of Contents</w:t>
              </w:r>
            </w:hyperlink>
          </w:p>
        </w:tc>
        <w:tc>
          <w:tcPr>
            <w:tcW w:w="4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85"/>
        </w:trPr>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5620" w:type="dxa"/>
            <w:vAlign w:val="bottom"/>
            <w:gridSpan w:val="2"/>
          </w:tcPr>
          <w:p>
            <w:pPr>
              <w:ind w:left="3840"/>
              <w:spacing w:after="0"/>
              <w:rPr>
                <w:sz w:val="20"/>
                <w:szCs w:val="20"/>
                <w:color w:val="auto"/>
              </w:rPr>
            </w:pPr>
            <w:r>
              <w:rPr>
                <w:rFonts w:ascii="Arial" w:cs="Arial" w:eastAsia="Arial" w:hAnsi="Arial"/>
                <w:sz w:val="18"/>
                <w:szCs w:val="18"/>
                <w:b w:val="1"/>
                <w:bCs w:val="1"/>
                <w:color w:val="auto"/>
              </w:rPr>
              <w:t>EXHIBIT INDEX</w:t>
            </w:r>
          </w:p>
        </w:tc>
        <w:tc>
          <w:tcPr>
            <w:tcW w:w="1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9"/>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b w:val="1"/>
                <w:bCs w:val="1"/>
                <w:color w:val="auto"/>
                <w:w w:val="95"/>
              </w:rPr>
              <w:t>Incorporation by Reference</w:t>
            </w:r>
          </w:p>
        </w:tc>
        <w:tc>
          <w:tcPr>
            <w:tcW w:w="1420" w:type="dxa"/>
            <w:vAlign w:val="bottom"/>
            <w:tcBorders>
              <w:bottom w:val="single" w:sz="8" w:color="auto"/>
            </w:tcBorders>
          </w:tcPr>
          <w:p>
            <w:pPr>
              <w:spacing w:after="0"/>
              <w:rPr>
                <w:sz w:val="24"/>
                <w:szCs w:val="24"/>
                <w:color w:val="auto"/>
              </w:rPr>
            </w:pPr>
          </w:p>
        </w:tc>
      </w:tr>
      <w:tr>
        <w:trPr>
          <w:trHeight w:val="223"/>
        </w:trPr>
        <w:tc>
          <w:tcPr>
            <w:tcW w:w="108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w w:val="97"/>
              </w:rPr>
              <w:t>Exhibit No.</w:t>
            </w:r>
          </w:p>
        </w:tc>
        <w:tc>
          <w:tcPr>
            <w:tcW w:w="492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Description</w:t>
            </w: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Form</w:t>
            </w: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File No.</w:t>
            </w:r>
          </w:p>
        </w:tc>
        <w:tc>
          <w:tcPr>
            <w:tcW w:w="17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Exhibit No.</w:t>
            </w: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Filing Date</w:t>
            </w:r>
          </w:p>
        </w:tc>
      </w:tr>
      <w:tr>
        <w:trPr>
          <w:trHeight w:val="196"/>
        </w:trPr>
        <w:tc>
          <w:tcPr>
            <w:tcW w:w="2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r:id="rId185">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hyperlink>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920" w:type="dxa"/>
            <w:vAlign w:val="bottom"/>
            <w:tcBorders>
              <w:bottom w:val="single" w:sz="8" w:color="CCEEFF"/>
            </w:tcBorders>
            <w:shd w:val="clear" w:color="auto" w:fill="CCEEFF"/>
          </w:tcPr>
          <w:p>
            <w:pPr>
              <w:ind w:left="80"/>
              <w:spacing w:after="0" w:line="176" w:lineRule="exact"/>
              <w:rPr>
                <w:sz w:val="20"/>
                <w:szCs w:val="20"/>
                <w:color w:val="auto"/>
              </w:rPr>
            </w:pPr>
            <w:r>
              <w:rPr>
                <w:rFonts w:ascii="Arial" w:cs="Arial" w:eastAsia="Arial" w:hAnsi="Arial"/>
                <w:sz w:val="18"/>
                <w:szCs w:val="18"/>
                <w:color w:val="auto"/>
              </w:rPr>
              <w:t>Form of Constitution of GH Research PLC</w:t>
            </w:r>
          </w:p>
        </w:tc>
        <w:tc>
          <w:tcPr>
            <w:tcW w:w="7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F-1/A</w:t>
            </w:r>
          </w:p>
        </w:tc>
        <w:tc>
          <w:tcPr>
            <w:tcW w:w="1400" w:type="dxa"/>
            <w:vAlign w:val="bottom"/>
            <w:tcBorders>
              <w:bottom w:val="single" w:sz="8" w:color="CCEEFF"/>
            </w:tcBorders>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89"/>
              </w:rPr>
              <w:t>333-256796</w:t>
            </w:r>
          </w:p>
        </w:tc>
        <w:tc>
          <w:tcPr>
            <w:tcW w:w="1720" w:type="dxa"/>
            <w:vAlign w:val="bottom"/>
            <w:tcBorders>
              <w:bottom w:val="single" w:sz="8" w:color="CCEEFF"/>
            </w:tcBorders>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87"/>
              </w:rPr>
              <w:t>3.2</w:t>
            </w:r>
          </w:p>
        </w:tc>
        <w:tc>
          <w:tcPr>
            <w:tcW w:w="1420" w:type="dxa"/>
            <w:vAlign w:val="bottom"/>
            <w:tcBorders>
              <w:bottom w:val="single" w:sz="8" w:color="CCEEFF"/>
            </w:tcBorders>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87"/>
              </w:rPr>
              <w:t>June 21, 2021</w:t>
            </w:r>
          </w:p>
        </w:tc>
      </w:tr>
      <w:tr>
        <w:trPr>
          <w:trHeight w:val="175"/>
        </w:trPr>
        <w:tc>
          <w:tcPr>
            <w:tcW w:w="420" w:type="dxa"/>
            <w:vAlign w:val="bottom"/>
            <w:gridSpan w:val="3"/>
          </w:tcPr>
          <w:p>
            <w:pPr>
              <w:spacing w:after="0" w:line="176" w:lineRule="exact"/>
              <w:rPr>
                <w:rFonts w:ascii="Arial" w:cs="Arial" w:eastAsia="Arial" w:hAnsi="Arial"/>
                <w:sz w:val="18"/>
                <w:szCs w:val="18"/>
                <w:color w:val="0000EE"/>
              </w:rPr>
            </w:pPr>
            <w:hyperlink w:anchor="page187">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920" w:type="dxa"/>
            <w:vAlign w:val="bottom"/>
          </w:tcPr>
          <w:p>
            <w:pPr>
              <w:ind w:left="80"/>
              <w:spacing w:after="0" w:line="176" w:lineRule="exact"/>
              <w:rPr>
                <w:sz w:val="20"/>
                <w:szCs w:val="20"/>
                <w:color w:val="auto"/>
              </w:rPr>
            </w:pPr>
            <w:r>
              <w:rPr>
                <w:rFonts w:ascii="Arial" w:cs="Arial" w:eastAsia="Arial" w:hAnsi="Arial"/>
                <w:sz w:val="18"/>
                <w:szCs w:val="18"/>
                <w:color w:val="auto"/>
              </w:rPr>
              <w:t>Description of Securities</w:t>
            </w:r>
          </w:p>
        </w:tc>
        <w:tc>
          <w:tcPr>
            <w:tcW w:w="7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1"/>
        </w:trPr>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86">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2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8"/>
                <w:szCs w:val="18"/>
                <w:color w:val="auto"/>
                <w:w w:val="94"/>
              </w:rPr>
              <w:t>Form of Registration Rights Agreement between the Company and F-1/A</w:t>
            </w:r>
          </w:p>
        </w:tc>
        <w:tc>
          <w:tcPr>
            <w:tcW w:w="1400" w:type="dxa"/>
            <w:vAlign w:val="bottom"/>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89"/>
              </w:rPr>
              <w:t>333-256796</w:t>
            </w:r>
          </w:p>
        </w:tc>
        <w:tc>
          <w:tcPr>
            <w:tcW w:w="1720" w:type="dxa"/>
            <w:vAlign w:val="bottom"/>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85"/>
              </w:rPr>
              <w:t>10.1</w:t>
            </w:r>
          </w:p>
        </w:tc>
        <w:tc>
          <w:tcPr>
            <w:tcW w:w="1420" w:type="dxa"/>
            <w:vAlign w:val="bottom"/>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87"/>
              </w:rPr>
              <w:t>June 21, 2021</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9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the shareholders listed therein</w:t>
            </w:r>
          </w:p>
        </w:tc>
        <w:tc>
          <w:tcPr>
            <w:tcW w:w="70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CCEEFF"/>
            </w:tcBorders>
            <w:shd w:val="clear" w:color="auto" w:fill="CCEEFF"/>
          </w:tcPr>
          <w:p>
            <w:pPr>
              <w:spacing w:after="0"/>
              <w:rPr>
                <w:sz w:val="20"/>
                <w:szCs w:val="20"/>
                <w:color w:val="auto"/>
              </w:rPr>
            </w:pPr>
          </w:p>
        </w:tc>
        <w:tc>
          <w:tcPr>
            <w:tcW w:w="1720" w:type="dxa"/>
            <w:vAlign w:val="bottom"/>
            <w:tcBorders>
              <w:top w:val="single" w:sz="8" w:color="CCEEFF"/>
            </w:tcBorders>
            <w:shd w:val="clear" w:color="auto" w:fill="CCEEFF"/>
          </w:tcPr>
          <w:p>
            <w:pPr>
              <w:spacing w:after="0"/>
              <w:rPr>
                <w:sz w:val="20"/>
                <w:szCs w:val="20"/>
                <w:color w:val="auto"/>
              </w:rPr>
            </w:pPr>
          </w:p>
        </w:tc>
        <w:tc>
          <w:tcPr>
            <w:tcW w:w="1420" w:type="dxa"/>
            <w:vAlign w:val="bottom"/>
            <w:tcBorders>
              <w:top w:val="single" w:sz="8" w:color="CCEEFF"/>
            </w:tcBorders>
            <w:shd w:val="clear" w:color="auto" w:fill="CCEEFF"/>
          </w:tcPr>
          <w:p>
            <w:pPr>
              <w:spacing w:after="0"/>
              <w:rPr>
                <w:sz w:val="20"/>
                <w:szCs w:val="20"/>
                <w:color w:val="auto"/>
              </w:rPr>
            </w:pPr>
          </w:p>
        </w:tc>
      </w:tr>
      <w:tr>
        <w:trPr>
          <w:trHeight w:val="176"/>
        </w:trPr>
        <w:tc>
          <w:tcPr>
            <w:tcW w:w="420" w:type="dxa"/>
            <w:vAlign w:val="bottom"/>
            <w:gridSpan w:val="3"/>
          </w:tcPr>
          <w:p>
            <w:pPr>
              <w:spacing w:after="0" w:line="176" w:lineRule="exact"/>
              <w:rPr>
                <w:rFonts w:ascii="Arial" w:cs="Arial" w:eastAsia="Arial" w:hAnsi="Arial"/>
                <w:sz w:val="18"/>
                <w:szCs w:val="18"/>
                <w:color w:val="0000EE"/>
              </w:rPr>
            </w:pPr>
            <w:hyperlink r:id="rId187">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920" w:type="dxa"/>
            <w:vAlign w:val="bottom"/>
          </w:tcPr>
          <w:p>
            <w:pPr>
              <w:ind w:left="80"/>
              <w:spacing w:after="0" w:line="176" w:lineRule="exact"/>
              <w:rPr>
                <w:sz w:val="20"/>
                <w:szCs w:val="20"/>
                <w:color w:val="auto"/>
              </w:rPr>
            </w:pPr>
            <w:r>
              <w:rPr>
                <w:rFonts w:ascii="Arial" w:cs="Arial" w:eastAsia="Arial" w:hAnsi="Arial"/>
                <w:sz w:val="18"/>
                <w:szCs w:val="18"/>
                <w:color w:val="auto"/>
              </w:rPr>
              <w:t>GH Research PLC Share Option Plan</w:t>
            </w:r>
          </w:p>
        </w:tc>
        <w:tc>
          <w:tcPr>
            <w:tcW w:w="700" w:type="dxa"/>
            <w:vAlign w:val="bottom"/>
          </w:tcPr>
          <w:p>
            <w:pPr>
              <w:spacing w:after="0" w:line="176" w:lineRule="exact"/>
              <w:rPr>
                <w:sz w:val="20"/>
                <w:szCs w:val="20"/>
                <w:color w:val="auto"/>
              </w:rPr>
            </w:pPr>
            <w:r>
              <w:rPr>
                <w:rFonts w:ascii="Arial" w:cs="Arial" w:eastAsia="Arial" w:hAnsi="Arial"/>
                <w:sz w:val="18"/>
                <w:szCs w:val="18"/>
                <w:color w:val="auto"/>
              </w:rPr>
              <w:t>F-1/A</w:t>
            </w:r>
          </w:p>
        </w:tc>
        <w:tc>
          <w:tcPr>
            <w:tcW w:w="140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9"/>
              </w:rPr>
              <w:t>333-256796</w:t>
            </w:r>
          </w:p>
        </w:tc>
        <w:tc>
          <w:tcPr>
            <w:tcW w:w="172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5"/>
              </w:rPr>
              <w:t>10.2</w:t>
            </w:r>
          </w:p>
        </w:tc>
        <w:tc>
          <w:tcPr>
            <w:tcW w:w="142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7"/>
              </w:rPr>
              <w:t>June 21, 2021</w:t>
            </w:r>
          </w:p>
        </w:tc>
      </w:tr>
      <w:tr>
        <w:trPr>
          <w:trHeight w:val="20"/>
        </w:trPr>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r:id="rId188">
              <w:r>
                <w:rPr>
                  <w:rFonts w:ascii="Arial" w:cs="Arial" w:eastAsia="Arial" w:hAnsi="Arial"/>
                  <w:sz w:val="18"/>
                  <w:szCs w:val="18"/>
                  <w:color w:val="0000EE"/>
                  <w:w w:val="87"/>
                </w:rPr>
                <w:t>8.</w:t>
              </w:r>
              <w:r>
                <w:rPr>
                  <w:rFonts w:ascii="Arial" w:cs="Arial" w:eastAsia="Arial" w:hAnsi="Arial"/>
                  <w:sz w:val="18"/>
                  <w:szCs w:val="18"/>
                  <w:u w:val="single" w:color="auto"/>
                  <w:color w:val="0000EE"/>
                  <w:w w:val="87"/>
                </w:rPr>
                <w:t>1</w:t>
              </w:r>
            </w:hyperlink>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920" w:type="dxa"/>
            <w:vAlign w:val="bottom"/>
            <w:tcBorders>
              <w:bottom w:val="single" w:sz="8" w:color="CCEEFF"/>
            </w:tcBorders>
            <w:shd w:val="clear" w:color="auto" w:fill="CCEEFF"/>
          </w:tcPr>
          <w:p>
            <w:pPr>
              <w:ind w:left="80"/>
              <w:spacing w:after="0" w:line="176" w:lineRule="exact"/>
              <w:rPr>
                <w:sz w:val="20"/>
                <w:szCs w:val="20"/>
                <w:color w:val="auto"/>
              </w:rPr>
            </w:pPr>
            <w:r>
              <w:rPr>
                <w:rFonts w:ascii="Arial" w:cs="Arial" w:eastAsia="Arial" w:hAnsi="Arial"/>
                <w:sz w:val="18"/>
                <w:szCs w:val="18"/>
                <w:color w:val="auto"/>
              </w:rPr>
              <w:t>List of subsidiaries</w:t>
            </w:r>
          </w:p>
        </w:tc>
        <w:tc>
          <w:tcPr>
            <w:tcW w:w="7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F-1</w:t>
            </w:r>
          </w:p>
        </w:tc>
        <w:tc>
          <w:tcPr>
            <w:tcW w:w="1400" w:type="dxa"/>
            <w:vAlign w:val="bottom"/>
            <w:tcBorders>
              <w:bottom w:val="single" w:sz="8" w:color="CCEEFF"/>
            </w:tcBorders>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89"/>
              </w:rPr>
              <w:t>333-256796</w:t>
            </w:r>
          </w:p>
        </w:tc>
        <w:tc>
          <w:tcPr>
            <w:tcW w:w="1720" w:type="dxa"/>
            <w:vAlign w:val="bottom"/>
            <w:tcBorders>
              <w:bottom w:val="single" w:sz="8" w:color="CCEEFF"/>
            </w:tcBorders>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85"/>
              </w:rPr>
              <w:t>21.1</w:t>
            </w:r>
          </w:p>
        </w:tc>
        <w:tc>
          <w:tcPr>
            <w:tcW w:w="1420" w:type="dxa"/>
            <w:vAlign w:val="bottom"/>
            <w:tcBorders>
              <w:bottom w:val="single" w:sz="8" w:color="CCEEFF"/>
            </w:tcBorders>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88"/>
              </w:rPr>
              <w:t>June 4, 2021</w:t>
            </w:r>
          </w:p>
        </w:tc>
      </w:tr>
      <w:tr>
        <w:trPr>
          <w:trHeight w:val="175"/>
        </w:trPr>
        <w:tc>
          <w:tcPr>
            <w:tcW w:w="1020" w:type="dxa"/>
            <w:vAlign w:val="bottom"/>
            <w:gridSpan w:val="4"/>
          </w:tcPr>
          <w:p>
            <w:pPr>
              <w:spacing w:after="0" w:line="176" w:lineRule="exact"/>
              <w:rPr>
                <w:rFonts w:ascii="Arial" w:cs="Arial" w:eastAsia="Arial" w:hAnsi="Arial"/>
                <w:sz w:val="18"/>
                <w:szCs w:val="18"/>
                <w:color w:val="0000EE"/>
              </w:rPr>
            </w:pPr>
            <w:hyperlink w:anchor="page211">
              <w:r>
                <w:rPr>
                  <w:rFonts w:ascii="Arial" w:cs="Arial" w:eastAsia="Arial" w:hAnsi="Arial"/>
                  <w:sz w:val="18"/>
                  <w:szCs w:val="18"/>
                  <w:color w:val="0000EE"/>
                </w:rPr>
                <w:t>12.</w:t>
              </w:r>
              <w:r>
                <w:rPr>
                  <w:rFonts w:ascii="Arial" w:cs="Arial" w:eastAsia="Arial" w:hAnsi="Arial"/>
                  <w:sz w:val="18"/>
                  <w:szCs w:val="18"/>
                  <w:u w:val="single" w:color="auto"/>
                  <w:color w:val="0000EE"/>
                </w:rPr>
                <w:t>1*</w:t>
              </w:r>
            </w:hyperlink>
          </w:p>
        </w:tc>
        <w:tc>
          <w:tcPr>
            <w:tcW w:w="60" w:type="dxa"/>
            <w:vAlign w:val="bottom"/>
          </w:tcPr>
          <w:p>
            <w:pPr>
              <w:spacing w:after="0"/>
              <w:rPr>
                <w:sz w:val="15"/>
                <w:szCs w:val="15"/>
                <w:color w:val="auto"/>
              </w:rPr>
            </w:pPr>
          </w:p>
        </w:tc>
        <w:tc>
          <w:tcPr>
            <w:tcW w:w="4920" w:type="dxa"/>
            <w:vAlign w:val="bottom"/>
          </w:tcPr>
          <w:p>
            <w:pPr>
              <w:ind w:left="80"/>
              <w:spacing w:after="0" w:line="176" w:lineRule="exact"/>
              <w:rPr>
                <w:sz w:val="20"/>
                <w:szCs w:val="20"/>
                <w:color w:val="auto"/>
              </w:rPr>
            </w:pPr>
            <w:r>
              <w:rPr>
                <w:rFonts w:ascii="Arial" w:cs="Arial" w:eastAsia="Arial" w:hAnsi="Arial"/>
                <w:sz w:val="18"/>
                <w:szCs w:val="18"/>
                <w:color w:val="auto"/>
                <w:w w:val="92"/>
              </w:rPr>
              <w:t>Certification of Principal Executive Officer Pursuant to Rules 13a-</w:t>
            </w:r>
          </w:p>
        </w:tc>
        <w:tc>
          <w:tcPr>
            <w:tcW w:w="7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920" w:type="dxa"/>
            <w:vAlign w:val="bottom"/>
          </w:tcPr>
          <w:p>
            <w:pPr>
              <w:ind w:left="80"/>
              <w:spacing w:after="0"/>
              <w:rPr>
                <w:sz w:val="20"/>
                <w:szCs w:val="20"/>
                <w:color w:val="auto"/>
              </w:rPr>
            </w:pPr>
            <w:r>
              <w:rPr>
                <w:rFonts w:ascii="Arial" w:cs="Arial" w:eastAsia="Arial" w:hAnsi="Arial"/>
                <w:sz w:val="18"/>
                <w:szCs w:val="18"/>
                <w:color w:val="auto"/>
                <w:w w:val="90"/>
              </w:rPr>
              <w:t>14(a) and 15d-14(a) under the Securities Exchange Act of 1934, as</w:t>
            </w:r>
          </w:p>
        </w:tc>
        <w:tc>
          <w:tcPr>
            <w:tcW w:w="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920" w:type="dxa"/>
            <w:vAlign w:val="bottom"/>
          </w:tcPr>
          <w:p>
            <w:pPr>
              <w:ind w:left="80"/>
              <w:spacing w:after="0"/>
              <w:rPr>
                <w:sz w:val="20"/>
                <w:szCs w:val="20"/>
                <w:color w:val="auto"/>
              </w:rPr>
            </w:pPr>
            <w:r>
              <w:rPr>
                <w:rFonts w:ascii="Arial" w:cs="Arial" w:eastAsia="Arial" w:hAnsi="Arial"/>
                <w:sz w:val="18"/>
                <w:szCs w:val="18"/>
                <w:color w:val="auto"/>
                <w:w w:val="96"/>
              </w:rPr>
              <w:t>Adopted Pursuant to Section 302 of the Sarbanes-Oxley Act of</w:t>
            </w: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20" w:type="dxa"/>
            <w:vAlign w:val="bottom"/>
          </w:tcPr>
          <w:p>
            <w:pPr>
              <w:ind w:left="80"/>
              <w:spacing w:after="0"/>
              <w:rPr>
                <w:sz w:val="20"/>
                <w:szCs w:val="20"/>
                <w:color w:val="auto"/>
              </w:rPr>
            </w:pPr>
            <w:r>
              <w:rPr>
                <w:rFonts w:ascii="Arial" w:cs="Arial" w:eastAsia="Arial" w:hAnsi="Arial"/>
                <w:sz w:val="18"/>
                <w:szCs w:val="18"/>
                <w:color w:val="auto"/>
              </w:rPr>
              <w:t>2002</w:t>
            </w:r>
          </w:p>
        </w:tc>
        <w:tc>
          <w:tcPr>
            <w:tcW w:w="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76"/>
        </w:trPr>
        <w:tc>
          <w:tcPr>
            <w:tcW w:w="1020" w:type="dxa"/>
            <w:vAlign w:val="bottom"/>
            <w:gridSpan w:val="4"/>
            <w:shd w:val="clear" w:color="auto" w:fill="CCEEFF"/>
          </w:tcPr>
          <w:p>
            <w:pPr>
              <w:spacing w:after="0" w:line="176" w:lineRule="exact"/>
              <w:rPr>
                <w:rFonts w:ascii="Arial" w:cs="Arial" w:eastAsia="Arial" w:hAnsi="Arial"/>
                <w:sz w:val="18"/>
                <w:szCs w:val="18"/>
                <w:color w:val="0000EE"/>
              </w:rPr>
            </w:pPr>
            <w:hyperlink w:anchor="page212">
              <w:r>
                <w:rPr>
                  <w:rFonts w:ascii="Arial" w:cs="Arial" w:eastAsia="Arial" w:hAnsi="Arial"/>
                  <w:sz w:val="18"/>
                  <w:szCs w:val="18"/>
                  <w:color w:val="0000EE"/>
                </w:rPr>
                <w:t>12.</w:t>
              </w:r>
              <w:r>
                <w:rPr>
                  <w:rFonts w:ascii="Arial" w:cs="Arial" w:eastAsia="Arial" w:hAnsi="Arial"/>
                  <w:sz w:val="18"/>
                  <w:szCs w:val="18"/>
                  <w:u w:val="single" w:color="auto"/>
                  <w:color w:val="0000EE"/>
                </w:rPr>
                <w:t>2*</w:t>
              </w:r>
            </w:hyperlink>
          </w:p>
        </w:tc>
        <w:tc>
          <w:tcPr>
            <w:tcW w:w="60" w:type="dxa"/>
            <w:vAlign w:val="bottom"/>
            <w:shd w:val="clear" w:color="auto" w:fill="CCEEFF"/>
          </w:tcPr>
          <w:p>
            <w:pPr>
              <w:spacing w:after="0"/>
              <w:rPr>
                <w:sz w:val="15"/>
                <w:szCs w:val="15"/>
                <w:color w:val="auto"/>
              </w:rPr>
            </w:pPr>
          </w:p>
        </w:tc>
        <w:tc>
          <w:tcPr>
            <w:tcW w:w="49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3"/>
              </w:rPr>
              <w:t>Certification of Principal Financial Officer Pursuant to Rules 13a-</w:t>
            </w:r>
          </w:p>
        </w:tc>
        <w:tc>
          <w:tcPr>
            <w:tcW w:w="7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9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0"/>
              </w:rPr>
              <w:t>14(a) and 15d-14(a) under the Securities Exchange Act of 1934, as</w:t>
            </w:r>
          </w:p>
        </w:tc>
        <w:tc>
          <w:tcPr>
            <w:tcW w:w="7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CCEEFF"/>
            </w:tcBorders>
            <w:shd w:val="clear" w:color="auto" w:fill="CCEEFF"/>
          </w:tcPr>
          <w:p>
            <w:pPr>
              <w:spacing w:after="0"/>
              <w:rPr>
                <w:sz w:val="19"/>
                <w:szCs w:val="19"/>
                <w:color w:val="auto"/>
              </w:rPr>
            </w:pPr>
          </w:p>
        </w:tc>
      </w:tr>
      <w:tr>
        <w:trPr>
          <w:trHeight w:val="216"/>
        </w:trPr>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9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Adopted Pursuant to Section 302 of the Sarbanes-Oxley Act of</w:t>
            </w: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2002</w:t>
            </w:r>
          </w:p>
        </w:tc>
        <w:tc>
          <w:tcPr>
            <w:tcW w:w="7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176"/>
        </w:trPr>
        <w:tc>
          <w:tcPr>
            <w:tcW w:w="1020" w:type="dxa"/>
            <w:vAlign w:val="bottom"/>
            <w:gridSpan w:val="4"/>
          </w:tcPr>
          <w:p>
            <w:pPr>
              <w:spacing w:after="0" w:line="176" w:lineRule="exact"/>
              <w:rPr>
                <w:rFonts w:ascii="Arial" w:cs="Arial" w:eastAsia="Arial" w:hAnsi="Arial"/>
                <w:sz w:val="18"/>
                <w:szCs w:val="18"/>
                <w:color w:val="0000EE"/>
              </w:rPr>
            </w:pPr>
            <w:hyperlink w:anchor="page213">
              <w:r>
                <w:rPr>
                  <w:rFonts w:ascii="Arial" w:cs="Arial" w:eastAsia="Arial" w:hAnsi="Arial"/>
                  <w:sz w:val="18"/>
                  <w:szCs w:val="18"/>
                  <w:color w:val="0000EE"/>
                </w:rPr>
                <w:t>13.</w:t>
              </w:r>
              <w:r>
                <w:rPr>
                  <w:rFonts w:ascii="Arial" w:cs="Arial" w:eastAsia="Arial" w:hAnsi="Arial"/>
                  <w:sz w:val="18"/>
                  <w:szCs w:val="18"/>
                  <w:u w:val="single" w:color="auto"/>
                  <w:color w:val="0000EE"/>
                </w:rPr>
                <w:t>1*</w:t>
              </w:r>
            </w:hyperlink>
          </w:p>
        </w:tc>
        <w:tc>
          <w:tcPr>
            <w:tcW w:w="60" w:type="dxa"/>
            <w:vAlign w:val="bottom"/>
          </w:tcPr>
          <w:p>
            <w:pPr>
              <w:spacing w:after="0"/>
              <w:rPr>
                <w:sz w:val="15"/>
                <w:szCs w:val="15"/>
                <w:color w:val="auto"/>
              </w:rPr>
            </w:pPr>
          </w:p>
        </w:tc>
        <w:tc>
          <w:tcPr>
            <w:tcW w:w="4920" w:type="dxa"/>
            <w:vAlign w:val="bottom"/>
          </w:tcPr>
          <w:p>
            <w:pPr>
              <w:ind w:left="80"/>
              <w:spacing w:after="0" w:line="176" w:lineRule="exact"/>
              <w:rPr>
                <w:sz w:val="20"/>
                <w:szCs w:val="20"/>
                <w:color w:val="auto"/>
              </w:rPr>
            </w:pPr>
            <w:r>
              <w:rPr>
                <w:rFonts w:ascii="Arial" w:cs="Arial" w:eastAsia="Arial" w:hAnsi="Arial"/>
                <w:sz w:val="18"/>
                <w:szCs w:val="18"/>
                <w:color w:val="auto"/>
                <w:w w:val="94"/>
              </w:rPr>
              <w:t>Certification of Principal Executive Officer Pursuant to 18 U.S.C.</w:t>
            </w:r>
          </w:p>
        </w:tc>
        <w:tc>
          <w:tcPr>
            <w:tcW w:w="7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920" w:type="dxa"/>
            <w:vAlign w:val="bottom"/>
          </w:tcPr>
          <w:p>
            <w:pPr>
              <w:ind w:left="80"/>
              <w:spacing w:after="0"/>
              <w:rPr>
                <w:sz w:val="20"/>
                <w:szCs w:val="20"/>
                <w:color w:val="auto"/>
              </w:rPr>
            </w:pPr>
            <w:r>
              <w:rPr>
                <w:rFonts w:ascii="Arial" w:cs="Arial" w:eastAsia="Arial" w:hAnsi="Arial"/>
                <w:sz w:val="18"/>
                <w:szCs w:val="18"/>
                <w:color w:val="auto"/>
                <w:w w:val="89"/>
              </w:rPr>
              <w:t>Section 1350, as Adopted Pursuant to Section 906 of the Sarbanes-</w:t>
            </w:r>
          </w:p>
        </w:tc>
        <w:tc>
          <w:tcPr>
            <w:tcW w:w="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20" w:type="dxa"/>
            <w:vAlign w:val="bottom"/>
          </w:tcPr>
          <w:p>
            <w:pPr>
              <w:ind w:left="80"/>
              <w:spacing w:after="0"/>
              <w:rPr>
                <w:sz w:val="20"/>
                <w:szCs w:val="20"/>
                <w:color w:val="auto"/>
              </w:rPr>
            </w:pPr>
            <w:r>
              <w:rPr>
                <w:rFonts w:ascii="Arial" w:cs="Arial" w:eastAsia="Arial" w:hAnsi="Arial"/>
                <w:sz w:val="18"/>
                <w:szCs w:val="18"/>
                <w:color w:val="auto"/>
              </w:rPr>
              <w:t>Oxley Act of 2002</w:t>
            </w:r>
          </w:p>
        </w:tc>
        <w:tc>
          <w:tcPr>
            <w:tcW w:w="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75"/>
        </w:trPr>
        <w:tc>
          <w:tcPr>
            <w:tcW w:w="1020" w:type="dxa"/>
            <w:vAlign w:val="bottom"/>
            <w:gridSpan w:val="4"/>
            <w:shd w:val="clear" w:color="auto" w:fill="CCEEFF"/>
          </w:tcPr>
          <w:p>
            <w:pPr>
              <w:spacing w:after="0" w:line="176" w:lineRule="exact"/>
              <w:rPr>
                <w:rFonts w:ascii="Arial" w:cs="Arial" w:eastAsia="Arial" w:hAnsi="Arial"/>
                <w:sz w:val="18"/>
                <w:szCs w:val="18"/>
                <w:color w:val="0000EE"/>
              </w:rPr>
            </w:pPr>
            <w:hyperlink w:anchor="page214">
              <w:r>
                <w:rPr>
                  <w:rFonts w:ascii="Arial" w:cs="Arial" w:eastAsia="Arial" w:hAnsi="Arial"/>
                  <w:sz w:val="18"/>
                  <w:szCs w:val="18"/>
                  <w:color w:val="0000EE"/>
                </w:rPr>
                <w:t>13.</w:t>
              </w:r>
              <w:r>
                <w:rPr>
                  <w:rFonts w:ascii="Arial" w:cs="Arial" w:eastAsia="Arial" w:hAnsi="Arial"/>
                  <w:sz w:val="18"/>
                  <w:szCs w:val="18"/>
                  <w:u w:val="single" w:color="auto"/>
                  <w:color w:val="0000EE"/>
                </w:rPr>
                <w:t>2*</w:t>
              </w:r>
            </w:hyperlink>
          </w:p>
        </w:tc>
        <w:tc>
          <w:tcPr>
            <w:tcW w:w="60" w:type="dxa"/>
            <w:vAlign w:val="bottom"/>
            <w:shd w:val="clear" w:color="auto" w:fill="CCEEFF"/>
          </w:tcPr>
          <w:p>
            <w:pPr>
              <w:spacing w:after="0"/>
              <w:rPr>
                <w:sz w:val="15"/>
                <w:szCs w:val="15"/>
                <w:color w:val="auto"/>
              </w:rPr>
            </w:pPr>
          </w:p>
        </w:tc>
        <w:tc>
          <w:tcPr>
            <w:tcW w:w="49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5"/>
              </w:rPr>
              <w:t>Certification of Principal Financial Officer Pursuant to 18 U.S.C.</w:t>
            </w:r>
          </w:p>
        </w:tc>
        <w:tc>
          <w:tcPr>
            <w:tcW w:w="7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9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89"/>
              </w:rPr>
              <w:t>Section 1350, as Adopted Pursuant to Section 906 of the Sarbanes-</w:t>
            </w:r>
          </w:p>
        </w:tc>
        <w:tc>
          <w:tcPr>
            <w:tcW w:w="7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CCEEFF"/>
            </w:tcBorders>
            <w:shd w:val="clear" w:color="auto" w:fill="CCEEFF"/>
          </w:tcPr>
          <w:p>
            <w:pPr>
              <w:spacing w:after="0"/>
              <w:rPr>
                <w:sz w:val="19"/>
                <w:szCs w:val="19"/>
                <w:color w:val="auto"/>
              </w:rPr>
            </w:pP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Oxley Act of 2002</w:t>
            </w:r>
          </w:p>
        </w:tc>
        <w:tc>
          <w:tcPr>
            <w:tcW w:w="7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176"/>
        </w:trPr>
        <w:tc>
          <w:tcPr>
            <w:tcW w:w="1020" w:type="dxa"/>
            <w:vAlign w:val="bottom"/>
            <w:gridSpan w:val="4"/>
          </w:tcPr>
          <w:p>
            <w:pPr>
              <w:spacing w:after="0" w:line="176" w:lineRule="exact"/>
              <w:rPr>
                <w:rFonts w:ascii="Arial" w:cs="Arial" w:eastAsia="Arial" w:hAnsi="Arial"/>
                <w:sz w:val="18"/>
                <w:szCs w:val="18"/>
                <w:color w:val="0000EE"/>
              </w:rPr>
            </w:pPr>
            <w:hyperlink w:anchor="page215">
              <w:r>
                <w:rPr>
                  <w:rFonts w:ascii="Arial" w:cs="Arial" w:eastAsia="Arial" w:hAnsi="Arial"/>
                  <w:sz w:val="18"/>
                  <w:szCs w:val="18"/>
                  <w:color w:val="0000EE"/>
                </w:rPr>
                <w:t>16.</w:t>
              </w:r>
              <w:r>
                <w:rPr>
                  <w:rFonts w:ascii="Arial" w:cs="Arial" w:eastAsia="Arial" w:hAnsi="Arial"/>
                  <w:sz w:val="18"/>
                  <w:szCs w:val="18"/>
                  <w:u w:val="single" w:color="auto"/>
                  <w:color w:val="0000EE"/>
                </w:rPr>
                <w:t>1*</w:t>
              </w:r>
            </w:hyperlink>
          </w:p>
        </w:tc>
        <w:tc>
          <w:tcPr>
            <w:tcW w:w="60" w:type="dxa"/>
            <w:vAlign w:val="bottom"/>
          </w:tcPr>
          <w:p>
            <w:pPr>
              <w:spacing w:after="0"/>
              <w:rPr>
                <w:sz w:val="15"/>
                <w:szCs w:val="15"/>
                <w:color w:val="auto"/>
              </w:rPr>
            </w:pPr>
          </w:p>
        </w:tc>
        <w:tc>
          <w:tcPr>
            <w:tcW w:w="4920" w:type="dxa"/>
            <w:vAlign w:val="bottom"/>
          </w:tcPr>
          <w:p>
            <w:pPr>
              <w:ind w:left="80"/>
              <w:spacing w:after="0" w:line="176" w:lineRule="exact"/>
              <w:rPr>
                <w:sz w:val="20"/>
                <w:szCs w:val="20"/>
                <w:color w:val="auto"/>
              </w:rPr>
            </w:pPr>
            <w:r>
              <w:rPr>
                <w:rFonts w:ascii="Arial" w:cs="Arial" w:eastAsia="Arial" w:hAnsi="Arial"/>
                <w:sz w:val="18"/>
                <w:szCs w:val="18"/>
                <w:color w:val="auto"/>
              </w:rPr>
              <w:t>Letter of PricewaterhouseCoopers SA regarding change in</w:t>
            </w:r>
          </w:p>
        </w:tc>
        <w:tc>
          <w:tcPr>
            <w:tcW w:w="7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20" w:type="dxa"/>
            <w:vAlign w:val="bottom"/>
          </w:tcPr>
          <w:p>
            <w:pPr>
              <w:ind w:left="80"/>
              <w:spacing w:after="0"/>
              <w:rPr>
                <w:sz w:val="20"/>
                <w:szCs w:val="20"/>
                <w:color w:val="auto"/>
              </w:rPr>
            </w:pPr>
            <w:r>
              <w:rPr>
                <w:rFonts w:ascii="Arial" w:cs="Arial" w:eastAsia="Arial" w:hAnsi="Arial"/>
                <w:sz w:val="18"/>
                <w:szCs w:val="18"/>
                <w:color w:val="auto"/>
              </w:rPr>
              <w:t>certifying accountant</w:t>
            </w:r>
          </w:p>
        </w:tc>
        <w:tc>
          <w:tcPr>
            <w:tcW w:w="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16"/>
        </w:trPr>
        <w:tc>
          <w:tcPr>
            <w:tcW w:w="10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101INS</w:t>
            </w:r>
          </w:p>
        </w:tc>
        <w:tc>
          <w:tcPr>
            <w:tcW w:w="4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XBRL Instance Document</w:t>
            </w: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1080" w:type="dxa"/>
            <w:vAlign w:val="bottom"/>
            <w:gridSpan w:val="5"/>
          </w:tcPr>
          <w:p>
            <w:pPr>
              <w:spacing w:after="0"/>
              <w:rPr>
                <w:sz w:val="20"/>
                <w:szCs w:val="20"/>
                <w:color w:val="auto"/>
              </w:rPr>
            </w:pPr>
            <w:r>
              <w:rPr>
                <w:rFonts w:ascii="Arial" w:cs="Arial" w:eastAsia="Arial" w:hAnsi="Arial"/>
                <w:sz w:val="18"/>
                <w:szCs w:val="18"/>
                <w:color w:val="auto"/>
              </w:rPr>
              <w:t>101.SCH</w:t>
            </w:r>
          </w:p>
        </w:tc>
        <w:tc>
          <w:tcPr>
            <w:tcW w:w="492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10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101.CAL</w:t>
            </w:r>
          </w:p>
        </w:tc>
        <w:tc>
          <w:tcPr>
            <w:tcW w:w="4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XBRL Taxonomy Extension Calculation Linkbase Document</w:t>
            </w: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1080" w:type="dxa"/>
            <w:vAlign w:val="bottom"/>
            <w:gridSpan w:val="5"/>
          </w:tcPr>
          <w:p>
            <w:pPr>
              <w:spacing w:after="0"/>
              <w:rPr>
                <w:sz w:val="20"/>
                <w:szCs w:val="20"/>
                <w:color w:val="auto"/>
              </w:rPr>
            </w:pPr>
            <w:r>
              <w:rPr>
                <w:rFonts w:ascii="Arial" w:cs="Arial" w:eastAsia="Arial" w:hAnsi="Arial"/>
                <w:sz w:val="18"/>
                <w:szCs w:val="18"/>
                <w:color w:val="auto"/>
              </w:rPr>
              <w:t>101.DEF</w:t>
            </w:r>
          </w:p>
        </w:tc>
        <w:tc>
          <w:tcPr>
            <w:tcW w:w="492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10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101.LAB</w:t>
            </w:r>
          </w:p>
        </w:tc>
        <w:tc>
          <w:tcPr>
            <w:tcW w:w="4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XBRL Taxonomy Extension Label Linkbase Document</w:t>
            </w: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1080" w:type="dxa"/>
            <w:vAlign w:val="bottom"/>
            <w:gridSpan w:val="5"/>
          </w:tcPr>
          <w:p>
            <w:pPr>
              <w:spacing w:after="0"/>
              <w:rPr>
                <w:sz w:val="20"/>
                <w:szCs w:val="20"/>
                <w:color w:val="auto"/>
              </w:rPr>
            </w:pPr>
            <w:r>
              <w:rPr>
                <w:rFonts w:ascii="Arial" w:cs="Arial" w:eastAsia="Arial" w:hAnsi="Arial"/>
                <w:sz w:val="18"/>
                <w:szCs w:val="18"/>
                <w:color w:val="auto"/>
              </w:rPr>
              <w:t>101.PRE</w:t>
            </w:r>
          </w:p>
        </w:tc>
        <w:tc>
          <w:tcPr>
            <w:tcW w:w="4920" w:type="dxa"/>
            <w:vAlign w:val="bottom"/>
          </w:tcPr>
          <w:p>
            <w:pPr>
              <w:ind w:left="80"/>
              <w:spacing w:after="0"/>
              <w:rPr>
                <w:sz w:val="20"/>
                <w:szCs w:val="20"/>
                <w:color w:val="auto"/>
              </w:rPr>
            </w:pPr>
            <w:r>
              <w:rPr>
                <w:rFonts w:ascii="Arial" w:cs="Arial" w:eastAsia="Arial" w:hAnsi="Arial"/>
                <w:sz w:val="18"/>
                <w:szCs w:val="18"/>
                <w:color w:val="auto"/>
                <w:w w:val="98"/>
              </w:rPr>
              <w:t>XBRL Taxonomy Extension Presentation Linkbase Document</w:t>
            </w:r>
          </w:p>
        </w:tc>
        <w:tc>
          <w:tcPr>
            <w:tcW w:w="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07124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83" w:lineRule="exact"/>
        <w:rPr>
          <w:sz w:val="20"/>
          <w:szCs w:val="20"/>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4" w:name="page165"/>
    <w:bookmarkEnd w:id="1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March 28, 2022</w:t>
      </w:r>
      <w:r>
        <w:rPr>
          <w:sz w:val="20"/>
          <w:szCs w:val="20"/>
          <w:color w:val="auto"/>
        </w:rPr>
        <w:tab/>
      </w:r>
      <w:r>
        <w:rPr>
          <w:rFonts w:ascii="Arial" w:cs="Arial" w:eastAsia="Arial" w:hAnsi="Arial"/>
          <w:sz w:val="16"/>
          <w:szCs w:val="16"/>
          <w:color w:val="auto"/>
        </w:rPr>
        <w:t>GH Research PLC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Theis Terwey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Theis Terwey</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Julie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Julie Ryan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Finance</w:t>
      </w: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2" w:right="51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161"/>
        </w:trPr>
        <w:tc>
          <w:tcPr>
            <w:tcW w:w="10120" w:type="dxa"/>
            <w:vAlign w:val="bottom"/>
            <w:gridSpan w:val="9"/>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020" w:type="dxa"/>
            <w:vAlign w:val="bottom"/>
            <w:tcBorders>
              <w:top w:val="single" w:sz="8" w:color="0000EE"/>
            </w:tcBorders>
          </w:tcPr>
          <w:p>
            <w:pPr>
              <w:spacing w:after="0"/>
              <w:rPr>
                <w:sz w:val="24"/>
                <w:szCs w:val="24"/>
                <w:color w:val="auto"/>
              </w:rPr>
            </w:pPr>
          </w:p>
        </w:tc>
        <w:tc>
          <w:tcPr>
            <w:tcW w:w="2400" w:type="dxa"/>
            <w:vAlign w:val="bottom"/>
          </w:tcPr>
          <w:p>
            <w:pPr>
              <w:spacing w:after="0"/>
              <w:rPr>
                <w:sz w:val="24"/>
                <w:szCs w:val="24"/>
                <w:color w:val="auto"/>
              </w:rPr>
            </w:pPr>
          </w:p>
        </w:tc>
        <w:tc>
          <w:tcPr>
            <w:tcW w:w="6700" w:type="dxa"/>
            <w:vAlign w:val="bottom"/>
            <w:gridSpan w:val="7"/>
          </w:tcPr>
          <w:p>
            <w:pPr>
              <w:jc w:val="center"/>
              <w:ind w:right="2300"/>
              <w:spacing w:after="0"/>
              <w:rPr>
                <w:sz w:val="20"/>
                <w:szCs w:val="20"/>
                <w:color w:val="auto"/>
              </w:rPr>
            </w:pPr>
            <w:r>
              <w:rPr>
                <w:rFonts w:ascii="Arial" w:cs="Arial" w:eastAsia="Arial" w:hAnsi="Arial"/>
                <w:sz w:val="18"/>
                <w:szCs w:val="18"/>
                <w:b w:val="1"/>
                <w:bCs w:val="1"/>
                <w:color w:val="auto"/>
              </w:rPr>
              <w:t>INDEX TO FINANCIAL STATEMENTS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120" w:type="dxa"/>
            <w:vAlign w:val="bottom"/>
            <w:gridSpan w:val="9"/>
            <w:shd w:val="clear" w:color="auto" w:fill="CCEEFF"/>
          </w:tcPr>
          <w:p>
            <w:pPr>
              <w:spacing w:after="0" w:line="176" w:lineRule="exact"/>
              <w:rPr>
                <w:rFonts w:ascii="Arial" w:cs="Arial" w:eastAsia="Arial" w:hAnsi="Arial"/>
                <w:sz w:val="18"/>
                <w:szCs w:val="18"/>
                <w:color w:val="0000EE"/>
              </w:rPr>
            </w:pPr>
            <w:hyperlink w:anchor="page167">
              <w:r>
                <w:rPr>
                  <w:rFonts w:ascii="Arial" w:cs="Arial" w:eastAsia="Arial" w:hAnsi="Arial"/>
                  <w:sz w:val="18"/>
                  <w:szCs w:val="18"/>
                  <w:color w:val="0000EE"/>
                </w:rPr>
                <w:t>Report of Independent Registered Public Accounting Firm for the year ended December 31, 2021 (PCAOB ID: 1366)</w:t>
              </w:r>
            </w:hyperlink>
          </w:p>
        </w:tc>
        <w:tc>
          <w:tcPr>
            <w:tcW w:w="1120" w:type="dxa"/>
            <w:vAlign w:val="bottom"/>
            <w:shd w:val="clear" w:color="auto" w:fill="CCEEFF"/>
          </w:tcPr>
          <w:p>
            <w:pPr>
              <w:ind w:left="880"/>
              <w:spacing w:after="0" w:line="176" w:lineRule="exact"/>
              <w:rPr>
                <w:sz w:val="20"/>
                <w:szCs w:val="20"/>
                <w:color w:val="auto"/>
              </w:rPr>
            </w:pPr>
            <w:r>
              <w:rPr>
                <w:rFonts w:ascii="Arial" w:cs="Arial" w:eastAsia="Arial" w:hAnsi="Arial"/>
                <w:sz w:val="18"/>
                <w:szCs w:val="18"/>
                <w:color w:val="auto"/>
                <w:w w:val="81"/>
              </w:rPr>
              <w:t>F-2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0000EE"/>
            </w:tcBorders>
            <w:shd w:val="clear" w:color="auto" w:fill="CCEEFF"/>
          </w:tcPr>
          <w:p>
            <w:pPr>
              <w:spacing w:after="0" w:line="20" w:lineRule="exact"/>
              <w:rPr>
                <w:sz w:val="1"/>
                <w:szCs w:val="1"/>
                <w:color w:val="auto"/>
              </w:rPr>
            </w:pPr>
          </w:p>
        </w:tc>
        <w:tc>
          <w:tcPr>
            <w:tcW w:w="2400" w:type="dxa"/>
            <w:vAlign w:val="bottom"/>
            <w:tcBorders>
              <w:top w:val="single" w:sz="8" w:color="0000EE"/>
            </w:tcBorders>
            <w:shd w:val="clear" w:color="auto" w:fill="CCEEFF"/>
          </w:tcPr>
          <w:p>
            <w:pPr>
              <w:spacing w:after="0" w:line="20" w:lineRule="exact"/>
              <w:rPr>
                <w:sz w:val="1"/>
                <w:szCs w:val="1"/>
                <w:color w:val="auto"/>
              </w:rPr>
            </w:pPr>
          </w:p>
        </w:tc>
        <w:tc>
          <w:tcPr>
            <w:tcW w:w="250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120" w:type="dxa"/>
            <w:vAlign w:val="bottom"/>
            <w:gridSpan w:val="9"/>
          </w:tcPr>
          <w:p>
            <w:pPr>
              <w:spacing w:after="0" w:line="176" w:lineRule="exact"/>
              <w:rPr>
                <w:rFonts w:ascii="Arial" w:cs="Arial" w:eastAsia="Arial" w:hAnsi="Arial"/>
                <w:sz w:val="18"/>
                <w:szCs w:val="18"/>
                <w:color w:val="0000EE"/>
                <w:w w:val="99"/>
              </w:rPr>
            </w:pPr>
            <w:hyperlink w:anchor="page168">
              <w:r>
                <w:rPr>
                  <w:rFonts w:ascii="Arial" w:cs="Arial" w:eastAsia="Arial" w:hAnsi="Arial"/>
                  <w:sz w:val="18"/>
                  <w:szCs w:val="18"/>
                  <w:color w:val="0000EE"/>
                  <w:w w:val="99"/>
                </w:rPr>
                <w:t>Report of Independent Registered Public Accounting Firm for the years ended December 31, 2020 and 2019 (PCAOB ID: 1358)</w:t>
              </w:r>
            </w:hyperlink>
          </w:p>
        </w:tc>
        <w:tc>
          <w:tcPr>
            <w:tcW w:w="1120" w:type="dxa"/>
            <w:vAlign w:val="bottom"/>
          </w:tcPr>
          <w:p>
            <w:pPr>
              <w:ind w:left="880"/>
              <w:spacing w:after="0" w:line="176" w:lineRule="exact"/>
              <w:rPr>
                <w:sz w:val="20"/>
                <w:szCs w:val="20"/>
                <w:color w:val="auto"/>
              </w:rPr>
            </w:pPr>
            <w:r>
              <w:rPr>
                <w:rFonts w:ascii="Arial" w:cs="Arial" w:eastAsia="Arial" w:hAnsi="Arial"/>
                <w:sz w:val="18"/>
                <w:szCs w:val="18"/>
                <w:color w:val="auto"/>
                <w:w w:val="81"/>
              </w:rPr>
              <w:t>F-3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25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169">
              <w:r>
                <w:rPr>
                  <w:rFonts w:ascii="Arial" w:cs="Arial" w:eastAsia="Arial" w:hAnsi="Arial"/>
                  <w:sz w:val="18"/>
                  <w:szCs w:val="18"/>
                  <w:color w:val="0000EE"/>
                  <w:w w:val="89"/>
                </w:rPr>
                <w:t>Consolidated Statement of Comprehensive Income for the years ended December 31, 2021, 2020 and 2019</w:t>
              </w:r>
            </w:hyperlink>
          </w:p>
        </w:tc>
        <w:tc>
          <w:tcPr>
            <w:tcW w:w="240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ind w:left="880"/>
              <w:spacing w:after="0" w:line="176" w:lineRule="exact"/>
              <w:rPr>
                <w:sz w:val="20"/>
                <w:szCs w:val="20"/>
                <w:color w:val="auto"/>
              </w:rPr>
            </w:pPr>
            <w:r>
              <w:rPr>
                <w:rFonts w:ascii="Arial" w:cs="Arial" w:eastAsia="Arial" w:hAnsi="Arial"/>
                <w:sz w:val="18"/>
                <w:szCs w:val="18"/>
                <w:color w:val="auto"/>
                <w:w w:val="81"/>
              </w:rPr>
              <w:t>F-5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120" w:type="dxa"/>
            <w:vAlign w:val="bottom"/>
            <w:gridSpan w:val="9"/>
          </w:tcPr>
          <w:p>
            <w:pPr>
              <w:spacing w:after="0" w:line="176" w:lineRule="exact"/>
              <w:rPr>
                <w:rFonts w:ascii="Arial" w:cs="Arial" w:eastAsia="Arial" w:hAnsi="Arial"/>
                <w:sz w:val="18"/>
                <w:szCs w:val="18"/>
                <w:color w:val="0000EE"/>
              </w:rPr>
            </w:pPr>
            <w:hyperlink w:anchor="page170">
              <w:r>
                <w:rPr>
                  <w:rFonts w:ascii="Arial" w:cs="Arial" w:eastAsia="Arial" w:hAnsi="Arial"/>
                  <w:sz w:val="18"/>
                  <w:szCs w:val="18"/>
                  <w:color w:val="0000EE"/>
                </w:rPr>
                <w:t>Consolidated Statement of Financial Positition as of December 31, 2021 and 2020</w:t>
              </w:r>
            </w:hyperlink>
          </w:p>
        </w:tc>
        <w:tc>
          <w:tcPr>
            <w:tcW w:w="1120" w:type="dxa"/>
            <w:vAlign w:val="bottom"/>
          </w:tcPr>
          <w:p>
            <w:pPr>
              <w:ind w:left="880"/>
              <w:spacing w:after="0" w:line="176" w:lineRule="exact"/>
              <w:rPr>
                <w:sz w:val="20"/>
                <w:szCs w:val="20"/>
                <w:color w:val="auto"/>
              </w:rPr>
            </w:pPr>
            <w:r>
              <w:rPr>
                <w:rFonts w:ascii="Arial" w:cs="Arial" w:eastAsia="Arial" w:hAnsi="Arial"/>
                <w:sz w:val="18"/>
                <w:szCs w:val="18"/>
                <w:color w:val="auto"/>
                <w:w w:val="81"/>
              </w:rPr>
              <w:t>F-6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250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20" w:type="dxa"/>
            <w:vAlign w:val="bottom"/>
            <w:gridSpan w:val="9"/>
            <w:shd w:val="clear" w:color="auto" w:fill="CCEEFF"/>
          </w:tcPr>
          <w:p>
            <w:pPr>
              <w:spacing w:after="0" w:line="176" w:lineRule="exact"/>
              <w:rPr>
                <w:rFonts w:ascii="Arial" w:cs="Arial" w:eastAsia="Arial" w:hAnsi="Arial"/>
                <w:sz w:val="18"/>
                <w:szCs w:val="18"/>
                <w:color w:val="0000EE"/>
              </w:rPr>
            </w:pPr>
            <w:hyperlink w:anchor="page171">
              <w:r>
                <w:rPr>
                  <w:rFonts w:ascii="Arial" w:cs="Arial" w:eastAsia="Arial" w:hAnsi="Arial"/>
                  <w:sz w:val="18"/>
                  <w:szCs w:val="18"/>
                  <w:color w:val="0000EE"/>
                </w:rPr>
                <w:t>Consolidated Statement of Changes in Equity for the years ended December 31, 2021, 2020 and 2019</w:t>
              </w:r>
            </w:hyperlink>
          </w:p>
        </w:tc>
        <w:tc>
          <w:tcPr>
            <w:tcW w:w="1120" w:type="dxa"/>
            <w:vAlign w:val="bottom"/>
            <w:shd w:val="clear" w:color="auto" w:fill="CCEEFF"/>
          </w:tcPr>
          <w:p>
            <w:pPr>
              <w:ind w:left="880"/>
              <w:spacing w:after="0" w:line="176" w:lineRule="exact"/>
              <w:rPr>
                <w:sz w:val="20"/>
                <w:szCs w:val="20"/>
                <w:color w:val="auto"/>
              </w:rPr>
            </w:pPr>
            <w:r>
              <w:rPr>
                <w:rFonts w:ascii="Arial" w:cs="Arial" w:eastAsia="Arial" w:hAnsi="Arial"/>
                <w:sz w:val="18"/>
                <w:szCs w:val="18"/>
                <w:color w:val="auto"/>
                <w:w w:val="81"/>
              </w:rPr>
              <w:t>F-7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320" w:type="dxa"/>
            <w:vAlign w:val="bottom"/>
            <w:tcBorders>
              <w:top w:val="single" w:sz="8" w:color="0000EE"/>
            </w:tcBorders>
            <w:gridSpan w:val="5"/>
          </w:tcPr>
          <w:p>
            <w:pPr>
              <w:spacing w:after="0" w:line="176" w:lineRule="exact"/>
              <w:rPr>
                <w:rFonts w:ascii="Arial" w:cs="Arial" w:eastAsia="Arial" w:hAnsi="Arial"/>
                <w:sz w:val="18"/>
                <w:szCs w:val="18"/>
                <w:color w:val="0000EE"/>
                <w:w w:val="95"/>
              </w:rPr>
            </w:pPr>
            <w:hyperlink w:anchor="page172">
              <w:r>
                <w:rPr>
                  <w:rFonts w:ascii="Arial" w:cs="Arial" w:eastAsia="Arial" w:hAnsi="Arial"/>
                  <w:sz w:val="18"/>
                  <w:szCs w:val="18"/>
                  <w:color w:val="0000EE"/>
                  <w:w w:val="95"/>
                </w:rPr>
                <w:t>Consolidated Statement of Cash Flows for the years ended December 31, 2021, 2020 and 2019</w:t>
              </w:r>
            </w:hyperlink>
          </w:p>
        </w:tc>
        <w:tc>
          <w:tcPr>
            <w:tcW w:w="2800" w:type="dxa"/>
            <w:vAlign w:val="bottom"/>
            <w:tcBorders>
              <w:top w:val="single" w:sz="8" w:color="CCEEFF"/>
            </w:tcBorders>
            <w:gridSpan w:val="4"/>
          </w:tcPr>
          <w:p>
            <w:pPr>
              <w:spacing w:after="0"/>
              <w:rPr>
                <w:sz w:val="15"/>
                <w:szCs w:val="15"/>
                <w:color w:val="auto"/>
              </w:rPr>
            </w:pPr>
          </w:p>
        </w:tc>
        <w:tc>
          <w:tcPr>
            <w:tcW w:w="1120" w:type="dxa"/>
            <w:vAlign w:val="bottom"/>
            <w:tcBorders>
              <w:top w:val="single" w:sz="8" w:color="CCEEFF"/>
            </w:tcBorders>
          </w:tcPr>
          <w:p>
            <w:pPr>
              <w:ind w:left="880"/>
              <w:spacing w:after="0" w:line="176" w:lineRule="exact"/>
              <w:rPr>
                <w:sz w:val="20"/>
                <w:szCs w:val="20"/>
                <w:color w:val="auto"/>
              </w:rPr>
            </w:pPr>
            <w:r>
              <w:rPr>
                <w:rFonts w:ascii="Arial" w:cs="Arial" w:eastAsia="Arial" w:hAnsi="Arial"/>
                <w:sz w:val="18"/>
                <w:szCs w:val="18"/>
                <w:color w:val="auto"/>
                <w:w w:val="81"/>
              </w:rPr>
              <w:t>F-8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25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20" w:type="dxa"/>
            <w:vAlign w:val="bottom"/>
            <w:gridSpan w:val="9"/>
            <w:shd w:val="clear" w:color="auto" w:fill="CCEEFF"/>
          </w:tcPr>
          <w:p>
            <w:pPr>
              <w:spacing w:after="0" w:line="176" w:lineRule="exact"/>
              <w:rPr>
                <w:rFonts w:ascii="Arial" w:cs="Arial" w:eastAsia="Arial" w:hAnsi="Arial"/>
                <w:sz w:val="18"/>
                <w:szCs w:val="18"/>
                <w:color w:val="0000EE"/>
              </w:rPr>
            </w:pPr>
            <w:hyperlink w:anchor="page173">
              <w:r>
                <w:rPr>
                  <w:rFonts w:ascii="Arial" w:cs="Arial" w:eastAsia="Arial" w:hAnsi="Arial"/>
                  <w:sz w:val="18"/>
                  <w:szCs w:val="18"/>
                  <w:color w:val="0000EE"/>
                </w:rPr>
                <w:t>Notes to the Consolidated Financial Statements</w:t>
              </w:r>
            </w:hyperlink>
          </w:p>
        </w:tc>
        <w:tc>
          <w:tcPr>
            <w:tcW w:w="1120" w:type="dxa"/>
            <w:vAlign w:val="bottom"/>
            <w:shd w:val="clear" w:color="auto" w:fill="CCEEFF"/>
          </w:tcPr>
          <w:p>
            <w:pPr>
              <w:ind w:left="880"/>
              <w:spacing w:after="0" w:line="176" w:lineRule="exact"/>
              <w:rPr>
                <w:sz w:val="20"/>
                <w:szCs w:val="20"/>
                <w:color w:val="auto"/>
              </w:rPr>
            </w:pPr>
            <w:r>
              <w:rPr>
                <w:rFonts w:ascii="Arial" w:cs="Arial" w:eastAsia="Arial" w:hAnsi="Arial"/>
                <w:sz w:val="18"/>
                <w:szCs w:val="18"/>
                <w:color w:val="auto"/>
                <w:w w:val="81"/>
              </w:rPr>
              <w:t>F-9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68"/>
        </w:trPr>
        <w:tc>
          <w:tcPr>
            <w:tcW w:w="1020" w:type="dxa"/>
            <w:vAlign w:val="bottom"/>
            <w:tcBorders>
              <w:top w:val="single" w:sz="8" w:color="0000EE"/>
            </w:tcBorders>
          </w:tcPr>
          <w:p>
            <w:pPr>
              <w:spacing w:after="0"/>
              <w:rPr>
                <w:sz w:val="24"/>
                <w:szCs w:val="24"/>
                <w:color w:val="auto"/>
              </w:rPr>
            </w:pPr>
          </w:p>
        </w:tc>
        <w:tc>
          <w:tcPr>
            <w:tcW w:w="2400" w:type="dxa"/>
            <w:vAlign w:val="bottom"/>
            <w:tcBorders>
              <w:top w:val="single" w:sz="8" w:color="0000EE"/>
            </w:tcBorders>
          </w:tcPr>
          <w:p>
            <w:pPr>
              <w:spacing w:after="0"/>
              <w:rPr>
                <w:sz w:val="24"/>
                <w:szCs w:val="24"/>
                <w:color w:val="auto"/>
              </w:rPr>
            </w:pPr>
          </w:p>
        </w:tc>
        <w:tc>
          <w:tcPr>
            <w:tcW w:w="6700" w:type="dxa"/>
            <w:vAlign w:val="bottom"/>
            <w:tcBorders>
              <w:top w:val="single" w:sz="8" w:color="CCEEFF"/>
            </w:tcBorders>
            <w:gridSpan w:val="7"/>
          </w:tcPr>
          <w:p>
            <w:pPr>
              <w:jc w:val="center"/>
              <w:ind w:right="2300"/>
              <w:spacing w:after="0"/>
              <w:rPr>
                <w:sz w:val="20"/>
                <w:szCs w:val="20"/>
                <w:color w:val="auto"/>
              </w:rPr>
            </w:pPr>
            <w:r>
              <w:rPr>
                <w:rFonts w:ascii="Arial" w:cs="Arial" w:eastAsia="Arial" w:hAnsi="Arial"/>
                <w:sz w:val="14"/>
                <w:szCs w:val="14"/>
                <w:color w:val="auto"/>
                <w:w w:val="95"/>
              </w:rPr>
              <w:t>F-1</w:t>
            </w:r>
          </w:p>
        </w:tc>
        <w:tc>
          <w:tcPr>
            <w:tcW w:w="11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66" w:name="page167"/>
    <w:bookmarkEnd w:id="16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GH Research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audited the accompanying consolidated statement of financial position of GH Research PLC and its subsidiary (the “Company”) as of December 31, 2021, and the related consolidated statements of comprehensive income, changes in equity and cash flows for the year ended December 31, 2021, including the related notes (collectively referred to as the “consolidated financial statements”). In our opinion, the consolidated financial statements present fairly, in all material respects, the financial position of the Company as of December 31, 2021, and the results of its operations and its cash flows for the year ended December 31, 2021 in conformity with International Financial Reporting Standards as issued by the International Accounting Standards Board.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7" w:name="page168"/>
    <w:bookmarkEnd w:id="16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GH Research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have audited the statement of financial position of GH Research PLC (the “Company”) as of December 31, 2020, and the related statement of comprehensive income, the statement of changes in equity, and the statement of cash flows for each of the two years in the period ended December 31, 2020, including the related notes (collectively referred to as the “financial statements”). In our opinion, the financial statements present fairly, in all material respects, the financial position of the Company as of December 31, 2020, and the results of its operations and its cash flows for each of the two years in the period ended December 31, 2020 in conformity with International Financial Reporting Standards as issued by the International Accounting Standards Board.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conducted our audits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2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Lausanne, Switzerland</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April 20, 2021, except for the effects of the share conversion and consolidation discussed in note 1 to the consolidated financial statements, as to which the date is March 28,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2020 to 2020.</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168" w:name="page169"/>
    <w:bookmarkEnd w:id="16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114935</wp:posOffset>
            </wp:positionV>
            <wp:extent cx="1217295" cy="2400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1217295" cy="24003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Arial" w:cs="Arial" w:eastAsia="Arial" w:hAnsi="Arial"/>
                <w:sz w:val="18"/>
                <w:szCs w:val="18"/>
                <w:b w:val="1"/>
                <w:bCs w:val="1"/>
                <w:color w:val="auto"/>
              </w:rPr>
              <w:t>GH RESEARCH PLC</w:t>
            </w:r>
          </w:p>
        </w:tc>
        <w:tc>
          <w:tcPr>
            <w:tcW w:w="2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080" w:type="dxa"/>
            <w:vAlign w:val="bottom"/>
          </w:tcPr>
          <w:p>
            <w:pPr>
              <w:spacing w:after="0"/>
              <w:rPr>
                <w:sz w:val="20"/>
                <w:szCs w:val="20"/>
                <w:color w:val="auto"/>
              </w:rPr>
            </w:pPr>
            <w:r>
              <w:rPr>
                <w:rFonts w:ascii="Arial" w:cs="Arial" w:eastAsia="Arial" w:hAnsi="Arial"/>
                <w:sz w:val="18"/>
                <w:szCs w:val="18"/>
                <w:b w:val="1"/>
                <w:bCs w:val="1"/>
                <w:color w:val="auto"/>
              </w:rPr>
              <w:t>Consolidated statement of comprehensive income</w:t>
            </w:r>
          </w:p>
        </w:tc>
        <w:tc>
          <w:tcPr>
            <w:tcW w:w="2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Year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3"/>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0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80" w:type="dxa"/>
            <w:vAlign w:val="bottom"/>
          </w:tcPr>
          <w:p>
            <w:pPr>
              <w:jc w:val="right"/>
              <w:ind w:right="450"/>
              <w:spacing w:after="0" w:line="198" w:lineRule="exact"/>
              <w:rPr>
                <w:sz w:val="20"/>
                <w:szCs w:val="20"/>
                <w:color w:val="auto"/>
              </w:rPr>
            </w:pPr>
            <w:r>
              <w:rPr>
                <w:rFonts w:ascii="Arial" w:cs="Arial" w:eastAsia="Arial" w:hAnsi="Arial"/>
                <w:sz w:val="18"/>
                <w:szCs w:val="18"/>
                <w:b w:val="1"/>
                <w:bCs w:val="1"/>
                <w:color w:val="auto"/>
              </w:rPr>
              <w:t>2021</w:t>
            </w:r>
          </w:p>
        </w:tc>
        <w:tc>
          <w:tcPr>
            <w:tcW w:w="1480" w:type="dxa"/>
            <w:vAlign w:val="bottom"/>
          </w:tcPr>
          <w:p>
            <w:pPr>
              <w:jc w:val="right"/>
              <w:ind w:right="590"/>
              <w:spacing w:after="0" w:line="198" w:lineRule="exact"/>
              <w:rPr>
                <w:sz w:val="20"/>
                <w:szCs w:val="20"/>
                <w:color w:val="auto"/>
              </w:rPr>
            </w:pPr>
            <w:r>
              <w:rPr>
                <w:rFonts w:ascii="Arial" w:cs="Arial" w:eastAsia="Arial" w:hAnsi="Arial"/>
                <w:sz w:val="18"/>
                <w:szCs w:val="18"/>
                <w:b w:val="1"/>
                <w:bCs w:val="1"/>
                <w:color w:val="auto"/>
              </w:rPr>
              <w:t>2020</w:t>
            </w:r>
          </w:p>
        </w:tc>
        <w:tc>
          <w:tcPr>
            <w:tcW w:w="102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r>
      <w:tr>
        <w:trPr>
          <w:trHeight w:val="241"/>
        </w:trPr>
        <w:tc>
          <w:tcPr>
            <w:tcW w:w="5080" w:type="dxa"/>
            <w:vAlign w:val="bottom"/>
          </w:tcPr>
          <w:p>
            <w:pPr>
              <w:spacing w:after="0"/>
              <w:rPr>
                <w:sz w:val="20"/>
                <w:szCs w:val="20"/>
                <w:color w:val="auto"/>
              </w:rPr>
            </w:pPr>
          </w:p>
        </w:tc>
        <w:tc>
          <w:tcPr>
            <w:tcW w:w="2280" w:type="dxa"/>
            <w:vAlign w:val="bottom"/>
          </w:tcPr>
          <w:p>
            <w:pPr>
              <w:ind w:left="1280"/>
              <w:spacing w:after="0"/>
              <w:rPr>
                <w:sz w:val="20"/>
                <w:szCs w:val="20"/>
                <w:color w:val="auto"/>
              </w:rPr>
            </w:pPr>
            <w:r>
              <w:rPr>
                <w:rFonts w:ascii="Arial" w:cs="Arial" w:eastAsia="Arial" w:hAnsi="Arial"/>
                <w:sz w:val="18"/>
                <w:szCs w:val="18"/>
                <w:b w:val="1"/>
                <w:bCs w:val="1"/>
                <w:color w:val="auto"/>
              </w:rPr>
              <w:t>Note</w:t>
            </w: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$’000</w:t>
            </w:r>
          </w:p>
        </w:tc>
        <w:tc>
          <w:tcPr>
            <w:tcW w:w="148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$’000</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$’000</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28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80" w:type="dxa"/>
            <w:vAlign w:val="bottom"/>
          </w:tcPr>
          <w:p>
            <w:pPr>
              <w:jc w:val="center"/>
              <w:ind w:left="550"/>
              <w:spacing w:after="0"/>
              <w:rPr>
                <w:sz w:val="20"/>
                <w:szCs w:val="20"/>
                <w:color w:val="auto"/>
              </w:rPr>
            </w:pPr>
            <w:r>
              <w:rPr>
                <w:rFonts w:ascii="Arial" w:cs="Arial" w:eastAsia="Arial" w:hAnsi="Arial"/>
                <w:sz w:val="18"/>
                <w:szCs w:val="18"/>
                <w:color w:val="auto"/>
                <w:w w:val="79"/>
              </w:rPr>
              <w:t>4</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(8,553)</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(338)</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administration</w:t>
            </w:r>
          </w:p>
        </w:tc>
        <w:tc>
          <w:tcPr>
            <w:tcW w:w="228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79"/>
              </w:rPr>
              <w:t>4</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(6,547)</w:t>
            </w:r>
          </w:p>
        </w:tc>
        <w:tc>
          <w:tcPr>
            <w:tcW w:w="1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(108)</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7"/>
        </w:trPr>
        <w:tc>
          <w:tcPr>
            <w:tcW w:w="508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28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(15,100)</w:t>
            </w: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(446)</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(310)</w:t>
            </w:r>
          </w:p>
        </w:tc>
      </w:tr>
      <w:tr>
        <w:trPr>
          <w:trHeight w:val="216"/>
        </w:trPr>
        <w:tc>
          <w:tcPr>
            <w:tcW w:w="50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Finance expense</w:t>
            </w:r>
          </w:p>
        </w:tc>
        <w:tc>
          <w:tcPr>
            <w:tcW w:w="2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differences</w:t>
            </w:r>
          </w:p>
        </w:tc>
        <w:tc>
          <w:tcPr>
            <w:tcW w:w="228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79"/>
              </w:rPr>
              <w:t>4</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5,907</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w:t>
            </w:r>
          </w:p>
        </w:tc>
        <w:tc>
          <w:tcPr>
            <w:tcW w:w="2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(9,202)</w:t>
            </w:r>
          </w:p>
        </w:tc>
        <w:tc>
          <w:tcPr>
            <w:tcW w:w="1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(446)</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r>
      <w:tr>
        <w:trPr>
          <w:trHeight w:val="223"/>
        </w:trPr>
        <w:tc>
          <w:tcPr>
            <w:tcW w:w="50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Tax charge/(credit)</w:t>
            </w:r>
          </w:p>
        </w:tc>
        <w:tc>
          <w:tcPr>
            <w:tcW w:w="2280" w:type="dxa"/>
            <w:vAlign w:val="bottom"/>
            <w:tcBorders>
              <w:top w:val="single" w:sz="8" w:color="CCEEFF"/>
            </w:tcBorders>
          </w:tcPr>
          <w:p>
            <w:pPr>
              <w:jc w:val="center"/>
              <w:ind w:left="550"/>
              <w:spacing w:after="0"/>
              <w:rPr>
                <w:sz w:val="20"/>
                <w:szCs w:val="20"/>
                <w:color w:val="auto"/>
              </w:rPr>
            </w:pPr>
            <w:r>
              <w:rPr>
                <w:rFonts w:ascii="Arial" w:cs="Arial" w:eastAsia="Arial" w:hAnsi="Arial"/>
                <w:sz w:val="18"/>
                <w:szCs w:val="18"/>
                <w:color w:val="auto"/>
                <w:w w:val="79"/>
              </w:rPr>
              <w:t>7</w:t>
            </w:r>
          </w:p>
        </w:tc>
        <w:tc>
          <w:tcPr>
            <w:tcW w:w="1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9"/>
                <w:szCs w:val="19"/>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year</w:t>
            </w:r>
          </w:p>
        </w:tc>
        <w:tc>
          <w:tcPr>
            <w:tcW w:w="2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(9,202)</w:t>
            </w:r>
          </w:p>
        </w:tc>
        <w:tc>
          <w:tcPr>
            <w:tcW w:w="14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(446)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income/(expense)</w:t>
            </w:r>
          </w:p>
        </w:tc>
        <w:tc>
          <w:tcPr>
            <w:tcW w:w="2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i w:val="1"/>
                <w:iCs w:val="1"/>
                <w:color w:val="auto"/>
              </w:rPr>
              <w:t>Items that may be reclassified to profit or loss</w:t>
            </w:r>
          </w:p>
        </w:tc>
        <w:tc>
          <w:tcPr>
            <w:tcW w:w="2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w:t>
            </w:r>
          </w:p>
        </w:tc>
        <w:tc>
          <w:tcPr>
            <w:tcW w:w="22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(6,103)</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212</w:t>
            </w: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2280" w:type="dxa"/>
            <w:vAlign w:val="bottom"/>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(15,305)</w:t>
            </w:r>
          </w:p>
        </w:tc>
        <w:tc>
          <w:tcPr>
            <w:tcW w:w="1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(234)</w:t>
            </w: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(322)</w:t>
            </w:r>
          </w:p>
        </w:tc>
      </w:tr>
      <w:tr>
        <w:trPr>
          <w:trHeight w:val="21"/>
        </w:trPr>
        <w:tc>
          <w:tcPr>
            <w:tcW w:w="5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09"/>
        </w:trPr>
        <w:tc>
          <w:tcPr>
            <w:tcW w:w="50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Attributable to owners:</w:t>
            </w:r>
          </w:p>
        </w:tc>
        <w:tc>
          <w:tcPr>
            <w:tcW w:w="2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for the year</w:t>
            </w:r>
          </w:p>
        </w:tc>
        <w:tc>
          <w:tcPr>
            <w:tcW w:w="2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(9,202)</w:t>
            </w:r>
          </w:p>
        </w:tc>
        <w:tc>
          <w:tcPr>
            <w:tcW w:w="1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(446)</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r>
      <w:tr>
        <w:trPr>
          <w:trHeight w:val="223"/>
        </w:trPr>
        <w:tc>
          <w:tcPr>
            <w:tcW w:w="5080" w:type="dxa"/>
            <w:vAlign w:val="bottom"/>
          </w:tcPr>
          <w:p>
            <w:pPr>
              <w:ind w:left="180"/>
              <w:spacing w:after="0"/>
              <w:rPr>
                <w:sz w:val="20"/>
                <w:szCs w:val="20"/>
                <w:color w:val="auto"/>
              </w:rPr>
            </w:pPr>
            <w:r>
              <w:rPr>
                <w:rFonts w:ascii="Arial" w:cs="Arial" w:eastAsia="Arial" w:hAnsi="Arial"/>
                <w:sz w:val="18"/>
                <w:szCs w:val="18"/>
                <w:color w:val="auto"/>
              </w:rPr>
              <w:t>Comprehensive loss for the year</w:t>
            </w:r>
          </w:p>
        </w:tc>
        <w:tc>
          <w:tcPr>
            <w:tcW w:w="2280" w:type="dxa"/>
            <w:vAlign w:val="bottom"/>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(15,305)</w:t>
            </w:r>
          </w:p>
        </w:tc>
        <w:tc>
          <w:tcPr>
            <w:tcW w:w="1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(234)</w:t>
            </w: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(322)</w:t>
            </w:r>
          </w:p>
        </w:tc>
      </w:tr>
      <w:tr>
        <w:trPr>
          <w:trHeight w:val="216"/>
        </w:trPr>
        <w:tc>
          <w:tcPr>
            <w:tcW w:w="50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Loss per share</w:t>
            </w:r>
          </w:p>
        </w:tc>
        <w:tc>
          <w:tcPr>
            <w:tcW w:w="2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loss per share (in USD)</w:t>
            </w:r>
          </w:p>
        </w:tc>
        <w:tc>
          <w:tcPr>
            <w:tcW w:w="228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17</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(0.211)</w:t>
            </w:r>
          </w:p>
        </w:tc>
        <w:tc>
          <w:tcPr>
            <w:tcW w:w="1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(0.016)</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(0.011)</w:t>
            </w:r>
          </w:p>
        </w:tc>
      </w:tr>
    </w:tbl>
    <w:p>
      <w:pPr>
        <w:spacing w:after="0" w:line="202"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The accompanying notes to the consolidated financial statements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9" w:name="page170"/>
    <w:bookmarkEnd w:id="16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114935</wp:posOffset>
            </wp:positionV>
            <wp:extent cx="1217295" cy="2400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1217295" cy="24003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Arial" w:cs="Arial" w:eastAsia="Arial" w:hAnsi="Arial"/>
                <w:sz w:val="18"/>
                <w:szCs w:val="18"/>
                <w:b w:val="1"/>
                <w:bCs w:val="1"/>
                <w:color w:val="auto"/>
              </w:rPr>
              <w:t>GH RESEARCH PLC</w:t>
            </w:r>
          </w:p>
        </w:tc>
        <w:tc>
          <w:tcPr>
            <w:tcW w:w="3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540" w:type="dxa"/>
            <w:vAlign w:val="bottom"/>
          </w:tcPr>
          <w:p>
            <w:pPr>
              <w:spacing w:after="0"/>
              <w:rPr>
                <w:sz w:val="20"/>
                <w:szCs w:val="20"/>
                <w:color w:val="auto"/>
              </w:rPr>
            </w:pPr>
            <w:r>
              <w:rPr>
                <w:rFonts w:ascii="Arial" w:cs="Arial" w:eastAsia="Arial" w:hAnsi="Arial"/>
                <w:sz w:val="18"/>
                <w:szCs w:val="18"/>
                <w:b w:val="1"/>
                <w:bCs w:val="1"/>
                <w:color w:val="auto"/>
              </w:rPr>
              <w:t>Consolidated statement of financial position</w:t>
            </w:r>
          </w:p>
        </w:tc>
        <w:tc>
          <w:tcPr>
            <w:tcW w:w="3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5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54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At December 31,</w:t>
            </w:r>
          </w:p>
        </w:tc>
      </w:tr>
      <w:tr>
        <w:trPr>
          <w:trHeight w:val="198"/>
        </w:trPr>
        <w:tc>
          <w:tcPr>
            <w:tcW w:w="55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100" w:type="dxa"/>
            <w:vAlign w:val="bottom"/>
            <w:tcBorders>
              <w:top w:val="single" w:sz="8" w:color="auto"/>
            </w:tcBorders>
          </w:tcPr>
          <w:p>
            <w:pPr>
              <w:jc w:val="right"/>
              <w:ind w:right="270"/>
              <w:spacing w:after="0" w:line="198"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r>
      <w:tr>
        <w:trPr>
          <w:trHeight w:val="241"/>
        </w:trPr>
        <w:tc>
          <w:tcPr>
            <w:tcW w:w="5540" w:type="dxa"/>
            <w:vAlign w:val="bottom"/>
          </w:tcPr>
          <w:p>
            <w:pPr>
              <w:spacing w:after="0"/>
              <w:rPr>
                <w:sz w:val="20"/>
                <w:szCs w:val="20"/>
                <w:color w:val="auto"/>
              </w:rPr>
            </w:pPr>
          </w:p>
        </w:tc>
        <w:tc>
          <w:tcPr>
            <w:tcW w:w="3160" w:type="dxa"/>
            <w:vAlign w:val="bottom"/>
          </w:tcPr>
          <w:p>
            <w:pPr>
              <w:ind w:left="2180"/>
              <w:spacing w:after="0"/>
              <w:rPr>
                <w:sz w:val="20"/>
                <w:szCs w:val="20"/>
                <w:color w:val="auto"/>
              </w:rPr>
            </w:pPr>
            <w:r>
              <w:rPr>
                <w:rFonts w:ascii="Arial" w:cs="Arial" w:eastAsia="Arial" w:hAnsi="Arial"/>
                <w:sz w:val="18"/>
                <w:szCs w:val="18"/>
                <w:b w:val="1"/>
                <w:bCs w:val="1"/>
                <w:color w:val="auto"/>
              </w:rPr>
              <w:t>Note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$’000</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$’000</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1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16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99"/>
              </w:rPr>
              <w:t>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276,776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100" w:type="dxa"/>
            <w:vAlign w:val="bottom"/>
            <w:shd w:val="clear" w:color="auto" w:fill="CCEEFF"/>
          </w:tcPr>
          <w:p>
            <w:pPr>
              <w:spacing w:after="0"/>
              <w:rPr>
                <w:sz w:val="18"/>
                <w:szCs w:val="18"/>
                <w:color w:val="auto"/>
              </w:rPr>
            </w:pPr>
          </w:p>
        </w:tc>
      </w:tr>
      <w:tr>
        <w:trPr>
          <w:trHeight w:val="223"/>
        </w:trPr>
        <w:tc>
          <w:tcPr>
            <w:tcW w:w="55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3160" w:type="dxa"/>
            <w:vAlign w:val="bottom"/>
          </w:tcPr>
          <w:p>
            <w:pPr>
              <w:jc w:val="center"/>
              <w:ind w:left="1450"/>
              <w:spacing w:after="0"/>
              <w:rPr>
                <w:sz w:val="20"/>
                <w:szCs w:val="20"/>
                <w:color w:val="auto"/>
              </w:rPr>
            </w:pPr>
            <w:r>
              <w:rPr>
                <w:rFonts w:ascii="Arial" w:cs="Arial" w:eastAsia="Arial" w:hAnsi="Arial"/>
                <w:sz w:val="18"/>
                <w:szCs w:val="18"/>
                <w:color w:val="auto"/>
                <w:w w:val="99"/>
              </w:rPr>
              <w:t>9</w:t>
            </w:r>
          </w:p>
        </w:tc>
        <w:tc>
          <w:tcPr>
            <w:tcW w:w="13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3,066</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r>
      <w:tr>
        <w:trPr>
          <w:trHeight w:val="22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279,842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5,912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3160" w:type="dxa"/>
            <w:vAlign w:val="bottom"/>
            <w:tcBorders>
              <w:bottom w:val="single" w:sz="8" w:color="CCEEFF"/>
            </w:tcBorders>
            <w:shd w:val="clear" w:color="auto" w:fill="CCEEFF"/>
          </w:tcPr>
          <w:p>
            <w:pPr>
              <w:jc w:val="center"/>
              <w:ind w:left="1450"/>
              <w:spacing w:after="0"/>
              <w:rPr>
                <w:sz w:val="20"/>
                <w:szCs w:val="20"/>
                <w:color w:val="auto"/>
              </w:rPr>
            </w:pPr>
            <w:r>
              <w:rPr>
                <w:rFonts w:ascii="Arial" w:cs="Arial" w:eastAsia="Arial" w:hAnsi="Arial"/>
                <w:sz w:val="18"/>
                <w:szCs w:val="18"/>
                <w:color w:val="auto"/>
                <w:w w:val="89"/>
              </w:rPr>
              <w:t>10</w:t>
            </w:r>
          </w:p>
        </w:tc>
        <w:tc>
          <w:tcPr>
            <w:tcW w:w="1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31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57"/>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279,924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5,912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5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3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payables</w:t>
            </w:r>
          </w:p>
        </w:tc>
        <w:tc>
          <w:tcPr>
            <w:tcW w:w="316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9"/>
              </w:rPr>
              <w:t>11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3"/>
        </w:trPr>
        <w:tc>
          <w:tcPr>
            <w:tcW w:w="554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3160" w:type="dxa"/>
            <w:vAlign w:val="bottom"/>
          </w:tcPr>
          <w:p>
            <w:pPr>
              <w:jc w:val="center"/>
              <w:ind w:left="1450"/>
              <w:spacing w:after="0"/>
              <w:rPr>
                <w:sz w:val="20"/>
                <w:szCs w:val="20"/>
                <w:color w:val="auto"/>
              </w:rPr>
            </w:pPr>
            <w:r>
              <w:rPr>
                <w:rFonts w:ascii="Arial" w:cs="Arial" w:eastAsia="Arial" w:hAnsi="Arial"/>
                <w:sz w:val="18"/>
                <w:szCs w:val="18"/>
                <w:color w:val="auto"/>
                <w:w w:val="89"/>
              </w:rPr>
              <w:t>12</w:t>
            </w:r>
          </w:p>
        </w:tc>
        <w:tc>
          <w:tcPr>
            <w:tcW w:w="13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1,866</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r>
      <w:tr>
        <w:trPr>
          <w:trHeight w:val="22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2,749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3160" w:type="dxa"/>
            <w:vAlign w:val="bottom"/>
          </w:tcPr>
          <w:p>
            <w:pPr>
              <w:spacing w:after="0"/>
              <w:rPr>
                <w:sz w:val="19"/>
                <w:szCs w:val="19"/>
                <w:color w:val="auto"/>
              </w:rPr>
            </w:pPr>
          </w:p>
        </w:tc>
        <w:tc>
          <w:tcPr>
            <w:tcW w:w="13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2,749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w:t>
            </w:r>
          </w:p>
        </w:tc>
        <w:tc>
          <w:tcPr>
            <w:tcW w:w="100" w:type="dxa"/>
            <w:vAlign w:val="bottom"/>
          </w:tcPr>
          <w:p>
            <w:pPr>
              <w:spacing w:after="0"/>
              <w:rPr>
                <w:sz w:val="19"/>
                <w:szCs w:val="19"/>
                <w:color w:val="auto"/>
              </w:rPr>
            </w:pPr>
          </w:p>
        </w:tc>
      </w:tr>
      <w:tr>
        <w:trPr>
          <w:trHeight w:val="216"/>
        </w:trPr>
        <w:tc>
          <w:tcPr>
            <w:tcW w:w="55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b w:val="1"/>
                <w:bCs w:val="1"/>
                <w:color w:val="auto"/>
              </w:rPr>
              <w:t>Equity attributable to owners</w:t>
            </w:r>
          </w:p>
        </w:tc>
        <w:tc>
          <w:tcPr>
            <w:tcW w:w="3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capital</w:t>
            </w:r>
          </w:p>
        </w:tc>
        <w:tc>
          <w:tcPr>
            <w:tcW w:w="316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9"/>
              </w:rPr>
              <w:t>13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160" w:type="dxa"/>
            <w:vAlign w:val="bottom"/>
          </w:tcPr>
          <w:p>
            <w:pPr>
              <w:jc w:val="center"/>
              <w:ind w:left="1450"/>
              <w:spacing w:after="0"/>
              <w:rPr>
                <w:sz w:val="20"/>
                <w:szCs w:val="20"/>
                <w:color w:val="auto"/>
              </w:rPr>
            </w:pPr>
            <w:r>
              <w:rPr>
                <w:rFonts w:ascii="Arial" w:cs="Arial" w:eastAsia="Arial" w:hAnsi="Arial"/>
                <w:sz w:val="18"/>
                <w:szCs w:val="18"/>
                <w:color w:val="auto"/>
                <w:w w:val="89"/>
              </w:rPr>
              <w:t>13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291,448</w:t>
            </w:r>
          </w:p>
        </w:tc>
        <w:tc>
          <w:tcPr>
            <w:tcW w:w="1120" w:type="dxa"/>
            <w:vAlign w:val="bottom"/>
          </w:tcPr>
          <w:p>
            <w:pPr>
              <w:jc w:val="right"/>
              <w:spacing w:after="0"/>
              <w:rPr>
                <w:sz w:val="20"/>
                <w:szCs w:val="20"/>
                <w:color w:val="auto"/>
              </w:rPr>
            </w:pPr>
            <w:r>
              <w:rPr>
                <w:rFonts w:ascii="Arial" w:cs="Arial" w:eastAsia="Arial" w:hAnsi="Arial"/>
                <w:sz w:val="18"/>
                <w:szCs w:val="18"/>
                <w:color w:val="auto"/>
              </w:rPr>
              <w:t>5,430</w:t>
            </w: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reserves</w:t>
            </w:r>
          </w:p>
        </w:tc>
        <w:tc>
          <w:tcPr>
            <w:tcW w:w="316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9"/>
              </w:rPr>
              <w:t>13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tcPr>
          <w:p>
            <w:pPr>
              <w:ind w:left="180"/>
              <w:spacing w:after="0"/>
              <w:rPr>
                <w:sz w:val="20"/>
                <w:szCs w:val="20"/>
                <w:color w:val="auto"/>
              </w:rPr>
            </w:pPr>
            <w:r>
              <w:rPr>
                <w:rFonts w:ascii="Arial" w:cs="Arial" w:eastAsia="Arial" w:hAnsi="Arial"/>
                <w:sz w:val="18"/>
                <w:szCs w:val="18"/>
                <w:color w:val="auto"/>
              </w:rPr>
              <w:t>Foreign currency translation reserve</w:t>
            </w:r>
          </w:p>
        </w:tc>
        <w:tc>
          <w:tcPr>
            <w:tcW w:w="3160" w:type="dxa"/>
            <w:vAlign w:val="bottom"/>
          </w:tcPr>
          <w:p>
            <w:pPr>
              <w:jc w:val="center"/>
              <w:ind w:left="1450"/>
              <w:spacing w:after="0"/>
              <w:rPr>
                <w:sz w:val="20"/>
                <w:szCs w:val="20"/>
                <w:color w:val="auto"/>
              </w:rPr>
            </w:pPr>
            <w:r>
              <w:rPr>
                <w:rFonts w:ascii="Arial" w:cs="Arial" w:eastAsia="Arial" w:hAnsi="Arial"/>
                <w:sz w:val="18"/>
                <w:szCs w:val="18"/>
                <w:color w:val="auto"/>
                <w:w w:val="89"/>
              </w:rPr>
              <w:t>13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(5,903)</w:t>
            </w: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r>
      <w:tr>
        <w:trPr>
          <w:trHeight w:val="223"/>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3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(10,037)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(835)</w:t>
            </w:r>
          </w:p>
        </w:tc>
      </w:tr>
      <w:tr>
        <w:trPr>
          <w:trHeight w:val="223"/>
        </w:trPr>
        <w:tc>
          <w:tcPr>
            <w:tcW w:w="55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equity</w:t>
            </w:r>
          </w:p>
        </w:tc>
        <w:tc>
          <w:tcPr>
            <w:tcW w:w="3160" w:type="dxa"/>
            <w:vAlign w:val="bottom"/>
            <w:tcBorders>
              <w:top w:val="single" w:sz="8" w:color="CCEEFF"/>
            </w:tcBorders>
          </w:tcPr>
          <w:p>
            <w:pPr>
              <w:spacing w:after="0"/>
              <w:rPr>
                <w:sz w:val="19"/>
                <w:szCs w:val="19"/>
                <w:color w:val="auto"/>
              </w:rPr>
            </w:pPr>
          </w:p>
        </w:tc>
        <w:tc>
          <w:tcPr>
            <w:tcW w:w="132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277,175</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5,666</w:t>
            </w:r>
          </w:p>
        </w:tc>
        <w:tc>
          <w:tcPr>
            <w:tcW w:w="100" w:type="dxa"/>
            <w:vAlign w:val="bottom"/>
            <w:tcBorders>
              <w:top w:val="single" w:sz="8" w:color="CCEEFF"/>
            </w:tcBorders>
          </w:tcPr>
          <w:p>
            <w:pPr>
              <w:spacing w:after="0"/>
              <w:rPr>
                <w:sz w:val="19"/>
                <w:szCs w:val="19"/>
                <w:color w:val="auto"/>
              </w:rPr>
            </w:pPr>
          </w:p>
        </w:tc>
      </w:tr>
      <w:tr>
        <w:trPr>
          <w:trHeight w:val="257"/>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3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279,924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5,912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The accompanying notes to the consolidated financial statements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0" w:name="page171"/>
    <w:bookmarkEnd w:id="17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114935</wp:posOffset>
            </wp:positionV>
            <wp:extent cx="1217295" cy="2400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1217295" cy="24003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GH RESEARCH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rPr>
              <w:t>Attributable to owners</w:t>
            </w:r>
          </w:p>
        </w:tc>
        <w:tc>
          <w:tcPr>
            <w:tcW w:w="1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Foreign</w:t>
            </w: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Additional</w:t>
            </w:r>
          </w:p>
        </w:tc>
        <w:tc>
          <w:tcPr>
            <w:tcW w:w="130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currency</w:t>
            </w: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paid-in</w:t>
            </w: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translation</w:t>
            </w:r>
          </w:p>
        </w:tc>
        <w:tc>
          <w:tcPr>
            <w:tcW w:w="14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Accumulated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Share capital</w:t>
            </w:r>
          </w:p>
        </w:tc>
        <w:tc>
          <w:tcPr>
            <w:tcW w:w="14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capital</w:t>
            </w: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3"/>
              </w:rPr>
              <w:t>reserves</w:t>
            </w: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reserve</w:t>
            </w:r>
          </w:p>
        </w:tc>
        <w:tc>
          <w:tcPr>
            <w:tcW w:w="14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deficit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439"/>
        </w:trPr>
        <w:tc>
          <w:tcPr>
            <w:tcW w:w="3280" w:type="dxa"/>
            <w:vAlign w:val="bottom"/>
          </w:tcPr>
          <w:p>
            <w:pPr>
              <w:spacing w:after="0"/>
              <w:rPr>
                <w:sz w:val="24"/>
                <w:szCs w:val="24"/>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$’000</w:t>
            </w:r>
          </w:p>
        </w:tc>
        <w:tc>
          <w:tcPr>
            <w:tcW w:w="140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$’000</w:t>
            </w: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$’000</w:t>
            </w: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$’000</w:t>
            </w:r>
          </w:p>
        </w:tc>
        <w:tc>
          <w:tcPr>
            <w:tcW w:w="148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$’000</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$’000</w:t>
            </w:r>
          </w:p>
        </w:tc>
      </w:tr>
      <w:tr>
        <w:trPr>
          <w:trHeight w:val="216"/>
        </w:trPr>
        <w:tc>
          <w:tcPr>
            <w:tcW w:w="3280" w:type="dxa"/>
            <w:vAlign w:val="bottom"/>
          </w:tcPr>
          <w:p>
            <w:pPr>
              <w:spacing w:after="0"/>
              <w:rPr>
                <w:sz w:val="18"/>
                <w:szCs w:val="18"/>
                <w:color w:val="auto"/>
              </w:rPr>
            </w:pPr>
          </w:p>
        </w:tc>
        <w:tc>
          <w:tcPr>
            <w:tcW w:w="136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Note 13</w:t>
            </w:r>
          </w:p>
        </w:tc>
        <w:tc>
          <w:tcPr>
            <w:tcW w:w="140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Note 13</w:t>
            </w:r>
          </w:p>
        </w:tc>
        <w:tc>
          <w:tcPr>
            <w:tcW w:w="130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Note 13</w:t>
            </w:r>
          </w:p>
        </w:tc>
        <w:tc>
          <w:tcPr>
            <w:tcW w:w="13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Note 13</w:t>
            </w:r>
          </w:p>
        </w:tc>
        <w:tc>
          <w:tcPr>
            <w:tcW w:w="1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 2019</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801</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(79)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722</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Loss for the year</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(310)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(310)</w:t>
            </w: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 adjustment</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7"/>
        </w:trPr>
        <w:tc>
          <w:tcPr>
            <w:tcW w:w="328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(310)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(322)</w:t>
            </w: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December 31, 2019</w:t>
            </w:r>
          </w:p>
        </w:tc>
        <w:tc>
          <w:tcPr>
            <w:tcW w:w="1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801</w:t>
            </w:r>
          </w:p>
        </w:tc>
        <w:tc>
          <w:tcPr>
            <w:tcW w:w="140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14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(389)</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 2020</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801</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14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(389)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Loss for the year</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(446)</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(446)</w:t>
            </w:r>
          </w:p>
        </w:tc>
      </w:tr>
      <w:tr>
        <w:trPr>
          <w:trHeight w:val="223"/>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Translation adjustment</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212</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rPr>
              <w:t>212</w:t>
            </w: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(446)</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(234)</w:t>
            </w: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Issue of share capital</w:t>
            </w:r>
          </w:p>
        </w:tc>
        <w:tc>
          <w:tcPr>
            <w:tcW w:w="1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70</w:t>
            </w:r>
          </w:p>
        </w:tc>
        <w:tc>
          <w:tcPr>
            <w:tcW w:w="140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5,430</w:t>
            </w:r>
          </w:p>
        </w:tc>
        <w:tc>
          <w:tcPr>
            <w:tcW w:w="1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b w:val="1"/>
                <w:bCs w:val="1"/>
                <w:color w:val="auto"/>
              </w:rPr>
              <w:t>Total transactions with owners</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70</w:t>
            </w: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5,430</w:t>
            </w: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5,500</w:t>
            </w:r>
          </w:p>
        </w:tc>
        <w:tc>
          <w:tcPr>
            <w:tcW w:w="100" w:type="dxa"/>
            <w:vAlign w:val="bottom"/>
          </w:tcPr>
          <w:p>
            <w:pPr>
              <w:spacing w:after="0"/>
              <w:rPr>
                <w:sz w:val="19"/>
                <w:szCs w:val="19"/>
                <w:color w:val="auto"/>
              </w:rPr>
            </w:pP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December 31, 2020</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871</w:t>
            </w: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5,430</w:t>
            </w: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200</w:t>
            </w:r>
          </w:p>
        </w:tc>
        <w:tc>
          <w:tcPr>
            <w:tcW w:w="1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(835)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5,666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 2021</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871</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5,430</w:t>
            </w: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200</w:t>
            </w:r>
          </w:p>
        </w:tc>
        <w:tc>
          <w:tcPr>
            <w:tcW w:w="14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(835)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5,666</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Loss for the year</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(9,202)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(9,202)</w:t>
            </w: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 adjustment</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(6,103)</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(6,103)</w:t>
            </w:r>
          </w:p>
        </w:tc>
      </w:tr>
      <w:tr>
        <w:trPr>
          <w:trHeight w:val="27"/>
        </w:trPr>
        <w:tc>
          <w:tcPr>
            <w:tcW w:w="328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(6,103)</w:t>
            </w: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(9,202)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(15,305)</w:t>
            </w: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1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366</w:t>
            </w:r>
          </w:p>
        </w:tc>
        <w:tc>
          <w:tcPr>
            <w:tcW w:w="13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Corporate reorganization</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(160)</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160</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Issue of share capital</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590</w:t>
            </w: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285,858</w:t>
            </w: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286,448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b w:val="1"/>
                <w:bCs w:val="1"/>
                <w:color w:val="auto"/>
              </w:rPr>
              <w:t>Total transactions with owners</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430</w:t>
            </w: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286,018</w:t>
            </w: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366</w:t>
            </w: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286,814</w:t>
            </w:r>
          </w:p>
        </w:tc>
        <w:tc>
          <w:tcPr>
            <w:tcW w:w="100" w:type="dxa"/>
            <w:vAlign w:val="bottom"/>
          </w:tcPr>
          <w:p>
            <w:pPr>
              <w:spacing w:after="0"/>
              <w:rPr>
                <w:sz w:val="19"/>
                <w:szCs w:val="19"/>
                <w:color w:val="auto"/>
              </w:rPr>
            </w:pPr>
          </w:p>
        </w:tc>
      </w:tr>
      <w:tr>
        <w:trPr>
          <w:trHeight w:val="256"/>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December 31, 2021</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1,301</w:t>
            </w: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291,448</w:t>
            </w: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366</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(5,903)</w:t>
            </w:r>
          </w:p>
        </w:tc>
        <w:tc>
          <w:tcPr>
            <w:tcW w:w="1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(10,037)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277,175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The accompanying notes to the consolidated financial statements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1" w:name="page172"/>
    <w:bookmarkEnd w:id="17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114935</wp:posOffset>
            </wp:positionV>
            <wp:extent cx="1217295" cy="2400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1217295" cy="24003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Arial" w:cs="Arial" w:eastAsia="Arial" w:hAnsi="Arial"/>
                <w:sz w:val="18"/>
                <w:szCs w:val="18"/>
                <w:b w:val="1"/>
                <w:bCs w:val="1"/>
                <w:color w:val="auto"/>
              </w:rPr>
              <w:t>GH RESEARCH PLC</w:t>
            </w:r>
          </w:p>
        </w:tc>
        <w:tc>
          <w:tcPr>
            <w:tcW w:w="2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180" w:type="dxa"/>
            <w:vAlign w:val="bottom"/>
          </w:tcPr>
          <w:p>
            <w:pPr>
              <w:spacing w:after="0"/>
              <w:rPr>
                <w:sz w:val="20"/>
                <w:szCs w:val="20"/>
                <w:color w:val="auto"/>
              </w:rPr>
            </w:pPr>
            <w:r>
              <w:rPr>
                <w:rFonts w:ascii="Arial" w:cs="Arial" w:eastAsia="Arial" w:hAnsi="Arial"/>
                <w:sz w:val="18"/>
                <w:szCs w:val="18"/>
                <w:b w:val="1"/>
                <w:bCs w:val="1"/>
                <w:color w:val="auto"/>
              </w:rPr>
              <w:t>Consolidated statement of cash flows</w:t>
            </w:r>
          </w:p>
        </w:tc>
        <w:tc>
          <w:tcPr>
            <w:tcW w:w="2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Year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3"/>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1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80" w:type="dxa"/>
            <w:vAlign w:val="bottom"/>
          </w:tcPr>
          <w:p>
            <w:pPr>
              <w:jc w:val="right"/>
              <w:ind w:right="450"/>
              <w:spacing w:after="0" w:line="198" w:lineRule="exact"/>
              <w:rPr>
                <w:sz w:val="20"/>
                <w:szCs w:val="20"/>
                <w:color w:val="auto"/>
              </w:rPr>
            </w:pPr>
            <w:r>
              <w:rPr>
                <w:rFonts w:ascii="Arial" w:cs="Arial" w:eastAsia="Arial" w:hAnsi="Arial"/>
                <w:sz w:val="18"/>
                <w:szCs w:val="18"/>
                <w:b w:val="1"/>
                <w:bCs w:val="1"/>
                <w:color w:val="auto"/>
              </w:rPr>
              <w:t>2021</w:t>
            </w:r>
          </w:p>
        </w:tc>
        <w:tc>
          <w:tcPr>
            <w:tcW w:w="1480" w:type="dxa"/>
            <w:vAlign w:val="bottom"/>
          </w:tcPr>
          <w:p>
            <w:pPr>
              <w:jc w:val="right"/>
              <w:ind w:right="590"/>
              <w:spacing w:after="0" w:line="198" w:lineRule="exact"/>
              <w:rPr>
                <w:sz w:val="20"/>
                <w:szCs w:val="20"/>
                <w:color w:val="auto"/>
              </w:rPr>
            </w:pPr>
            <w:r>
              <w:rPr>
                <w:rFonts w:ascii="Arial" w:cs="Arial" w:eastAsia="Arial" w:hAnsi="Arial"/>
                <w:sz w:val="18"/>
                <w:szCs w:val="18"/>
                <w:b w:val="1"/>
                <w:bCs w:val="1"/>
                <w:color w:val="auto"/>
              </w:rPr>
              <w:t>2020</w:t>
            </w:r>
          </w:p>
        </w:tc>
        <w:tc>
          <w:tcPr>
            <w:tcW w:w="102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r>
      <w:tr>
        <w:trPr>
          <w:trHeight w:val="241"/>
        </w:trPr>
        <w:tc>
          <w:tcPr>
            <w:tcW w:w="5180" w:type="dxa"/>
            <w:vAlign w:val="bottom"/>
          </w:tcPr>
          <w:p>
            <w:pPr>
              <w:spacing w:after="0"/>
              <w:rPr>
                <w:sz w:val="20"/>
                <w:szCs w:val="20"/>
                <w:color w:val="auto"/>
              </w:rPr>
            </w:pPr>
          </w:p>
        </w:tc>
        <w:tc>
          <w:tcPr>
            <w:tcW w:w="2180" w:type="dxa"/>
            <w:vAlign w:val="bottom"/>
          </w:tcPr>
          <w:p>
            <w:pPr>
              <w:ind w:left="1180"/>
              <w:spacing w:after="0"/>
              <w:rPr>
                <w:sz w:val="20"/>
                <w:szCs w:val="20"/>
                <w:color w:val="auto"/>
              </w:rPr>
            </w:pPr>
            <w:r>
              <w:rPr>
                <w:rFonts w:ascii="Arial" w:cs="Arial" w:eastAsia="Arial" w:hAnsi="Arial"/>
                <w:sz w:val="18"/>
                <w:szCs w:val="18"/>
                <w:b w:val="1"/>
                <w:bCs w:val="1"/>
                <w:color w:val="auto"/>
              </w:rPr>
              <w:t>Note</w:t>
            </w: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$’000</w:t>
            </w:r>
          </w:p>
        </w:tc>
        <w:tc>
          <w:tcPr>
            <w:tcW w:w="148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$’000</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$’000</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18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Loss for the year</w:t>
            </w:r>
          </w:p>
        </w:tc>
        <w:tc>
          <w:tcPr>
            <w:tcW w:w="21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(9,202)</w:t>
            </w: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(446)</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(310)</w:t>
            </w: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1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9"/>
              </w:rPr>
              <w:t>10</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2180" w:type="dxa"/>
            <w:vAlign w:val="bottom"/>
          </w:tcPr>
          <w:p>
            <w:pPr>
              <w:jc w:val="center"/>
              <w:ind w:left="470"/>
              <w:spacing w:after="0"/>
              <w:rPr>
                <w:sz w:val="20"/>
                <w:szCs w:val="20"/>
                <w:color w:val="auto"/>
              </w:rPr>
            </w:pPr>
            <w:r>
              <w:rPr>
                <w:rFonts w:ascii="Arial" w:cs="Arial" w:eastAsia="Arial" w:hAnsi="Arial"/>
                <w:sz w:val="18"/>
                <w:szCs w:val="18"/>
                <w:color w:val="auto"/>
                <w:w w:val="89"/>
              </w:rPr>
              <w:t>15</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366</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expense</w:t>
            </w:r>
          </w:p>
        </w:tc>
        <w:tc>
          <w:tcPr>
            <w:tcW w:w="2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Foreign exchange translation differences</w:t>
            </w:r>
          </w:p>
        </w:tc>
        <w:tc>
          <w:tcPr>
            <w:tcW w:w="2180" w:type="dxa"/>
            <w:vAlign w:val="bottom"/>
          </w:tcPr>
          <w:p>
            <w:pPr>
              <w:jc w:val="center"/>
              <w:ind w:left="450"/>
              <w:spacing w:after="0"/>
              <w:rPr>
                <w:sz w:val="20"/>
                <w:szCs w:val="20"/>
                <w:color w:val="auto"/>
              </w:rPr>
            </w:pPr>
            <w:r>
              <w:rPr>
                <w:rFonts w:ascii="Arial" w:cs="Arial" w:eastAsia="Arial" w:hAnsi="Arial"/>
                <w:sz w:val="18"/>
                <w:szCs w:val="18"/>
                <w:color w:val="auto"/>
                <w:w w:val="79"/>
              </w:rPr>
              <w:t>4</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(5,907)</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Movement in working capital</w:t>
            </w:r>
          </w:p>
        </w:tc>
        <w:tc>
          <w:tcPr>
            <w:tcW w:w="2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116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Cash flows used in operating activities</w:t>
            </w:r>
          </w:p>
        </w:tc>
        <w:tc>
          <w:tcPr>
            <w:tcW w:w="21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(15,274)</w:t>
            </w: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(330)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(289)</w:t>
            </w:r>
          </w:p>
        </w:tc>
      </w:tr>
      <w:tr>
        <w:trPr>
          <w:trHeight w:val="223"/>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expense paid</w:t>
            </w:r>
          </w:p>
        </w:tc>
        <w:tc>
          <w:tcPr>
            <w:tcW w:w="2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18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(15,283)</w:t>
            </w: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(330)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(289)</w:t>
            </w:r>
          </w:p>
        </w:tc>
      </w:tr>
      <w:tr>
        <w:trPr>
          <w:trHeight w:val="216"/>
        </w:trPr>
        <w:tc>
          <w:tcPr>
            <w:tcW w:w="51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21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9"/>
              </w:rPr>
              <w:t>10</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Proceeds from capital contributions</w:t>
            </w:r>
          </w:p>
        </w:tc>
        <w:tc>
          <w:tcPr>
            <w:tcW w:w="2180" w:type="dxa"/>
            <w:vAlign w:val="bottom"/>
          </w:tcPr>
          <w:p>
            <w:pPr>
              <w:jc w:val="center"/>
              <w:ind w:left="470"/>
              <w:spacing w:after="0"/>
              <w:rPr>
                <w:sz w:val="20"/>
                <w:szCs w:val="20"/>
                <w:color w:val="auto"/>
              </w:rPr>
            </w:pPr>
            <w:r>
              <w:rPr>
                <w:rFonts w:ascii="Arial" w:cs="Arial" w:eastAsia="Arial" w:hAnsi="Arial"/>
                <w:sz w:val="18"/>
                <w:szCs w:val="18"/>
                <w:color w:val="auto"/>
                <w:w w:val="89"/>
              </w:rPr>
              <w:t>13</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309,200</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5,500</w:t>
            </w:r>
          </w:p>
        </w:tc>
        <w:tc>
          <w:tcPr>
            <w:tcW w:w="102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r>
      <w:tr>
        <w:trPr>
          <w:trHeight w:val="223"/>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costs from capital contributions</w:t>
            </w:r>
          </w:p>
        </w:tc>
        <w:tc>
          <w:tcPr>
            <w:tcW w:w="21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9"/>
              </w:rPr>
              <w:t>13</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(22,753)</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1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2180" w:type="dxa"/>
            <w:vAlign w:val="bottom"/>
            <w:tcBorders>
              <w:top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286,447</w:t>
            </w:r>
          </w:p>
        </w:tc>
        <w:tc>
          <w:tcPr>
            <w:tcW w:w="14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5,500</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797</w:t>
            </w:r>
          </w:p>
        </w:tc>
        <w:tc>
          <w:tcPr>
            <w:tcW w:w="100" w:type="dxa"/>
            <w:vAlign w:val="bottom"/>
            <w:tcBorders>
              <w:top w:val="single" w:sz="8" w:color="CCEEFF"/>
            </w:tcBorders>
          </w:tcPr>
          <w:p>
            <w:pPr>
              <w:spacing w:after="0"/>
              <w:rPr>
                <w:sz w:val="19"/>
                <w:szCs w:val="19"/>
                <w:color w:val="auto"/>
              </w:rPr>
            </w:pPr>
          </w:p>
        </w:tc>
      </w:tr>
      <w:tr>
        <w:trPr>
          <w:trHeight w:val="216"/>
        </w:trPr>
        <w:tc>
          <w:tcPr>
            <w:tcW w:w="51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218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271,060</w:t>
            </w: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5,170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508</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at the beginning of the year</w:t>
            </w:r>
          </w:p>
        </w:tc>
        <w:tc>
          <w:tcPr>
            <w:tcW w:w="2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5,895</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498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180" w:type="dxa"/>
            <w:vAlign w:val="bottom"/>
          </w:tcPr>
          <w:p>
            <w:pPr>
              <w:ind w:left="180"/>
              <w:spacing w:after="0"/>
              <w:rPr>
                <w:sz w:val="20"/>
                <w:szCs w:val="20"/>
                <w:color w:val="auto"/>
              </w:rPr>
            </w:pPr>
            <w:r>
              <w:rPr>
                <w:rFonts w:ascii="Arial" w:cs="Arial" w:eastAsia="Arial" w:hAnsi="Arial"/>
                <w:sz w:val="18"/>
                <w:szCs w:val="18"/>
                <w:color w:val="auto"/>
              </w:rPr>
              <w:t>Impact of foreign exchange on cash</w:t>
            </w:r>
          </w:p>
        </w:tc>
        <w:tc>
          <w:tcPr>
            <w:tcW w:w="218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227</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56"/>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2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276,776</w:t>
            </w:r>
          </w:p>
        </w:tc>
        <w:tc>
          <w:tcPr>
            <w:tcW w:w="148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5,895</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The accompanying notes to the consolidated financial statements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2" w:name="page173"/>
    <w:bookmarkEnd w:id="17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114935</wp:posOffset>
            </wp:positionV>
            <wp:extent cx="1217295" cy="2400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1217295" cy="24003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GH RESEARCH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ind w:left="360" w:hanging="352"/>
        <w:spacing w:after="0"/>
        <w:tabs>
          <w:tab w:leader="none" w:pos="3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GH Research PLC (the “Company”) was incorporated on March 29, 2021. The registered office of the Company is located at 28 Baggot Street Lower, Dublin 2, Ireland. The company controls one wholly-owned subsidiary: GH Research Ireland Limited, which was incorporated in Dublin, Ireland on October 16, 2018. The Company and its subsidiary form the GH Research Group (the “Group”).</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Group is a clinical-stage biopharmaceutical company dedicated to transforming the treatment of psychiatric and neurological disorders. Its initial focus is on developing the novel and proprietary 5-MeO-DMT therapies for the treatment of patients with Treatment Resistant Depression, or TRD. Its portfolio currently includes GH001, a proprietary inhalable 5-MeO-DMT product candidate, GH002, a proprietary injectable 5-MeO-DMT product candidate, and GH003, a proprietary intranasal 5-MeO-DMT product candidate.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29, 2021, GH Research PLC was incorporated under the laws of Ireland to become the ultimate holding company for GH Research Ireland Limited pursuant to a corporate reorganization, which is described in further detail in note 13 “Share capital and reserves”.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consolidated financial statements were presented to the board of directors and approved by them for issue on March 28, 2022.</w:t>
      </w:r>
    </w:p>
    <w:p>
      <w:pPr>
        <w:spacing w:after="0" w:line="221" w:lineRule="exact"/>
        <w:rPr>
          <w:sz w:val="20"/>
          <w:szCs w:val="20"/>
          <w:color w:val="auto"/>
        </w:rPr>
      </w:pPr>
    </w:p>
    <w:p>
      <w:pPr>
        <w:ind w:right="5700" w:firstLine="8"/>
        <w:spacing w:after="0" w:line="503" w:lineRule="auto"/>
        <w:tabs>
          <w:tab w:leader="none" w:pos="3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significant judgments, and accounting policies Basis of preparation</w:t>
      </w:r>
    </w:p>
    <w:p>
      <w:pPr>
        <w:spacing w:after="0"/>
        <w:rPr>
          <w:sz w:val="20"/>
          <w:szCs w:val="20"/>
          <w:color w:val="auto"/>
        </w:rPr>
      </w:pPr>
      <w:r>
        <w:rPr>
          <w:rFonts w:ascii="Arial" w:cs="Arial" w:eastAsia="Arial" w:hAnsi="Arial"/>
          <w:sz w:val="18"/>
          <w:szCs w:val="18"/>
          <w:b w:val="1"/>
          <w:bCs w:val="1"/>
          <w:i w:val="1"/>
          <w:iCs w:val="1"/>
          <w:color w:val="auto"/>
        </w:rPr>
        <w:t>Compliance with International Financial Reporting Standards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for the year ended December 31, 2021, have been prepared in accordance with International Financial Reporting Standards (IFRS) as issued by the International Accounting Standards Board (IASB). These consolidated financial statements are presented in U.S. dollar (“USD” or “$”), which is the Company’s functional currency and the Group’s presentation currency. The financial statements have been prepared under the historical cost convention.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incorporation of GH Research PLC was accounted for as a capital reorganization applying the predecessor accounting method. Under predecessor accounting, the Group carries forward the predecessor carrying values of the net assets and liabilities assumed as previously reflected in the financial statements of GH Research Ireland Limited and the comparatives are presented on that basis. The financial information presented prior to the incorporation of GH Research PLC, including the comparative financial information for the years ended December 31, 2020 and 2019, relate solely to GH Research Ireland Limited.</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financial information presented in this report does not represent full statutory accounts as defined by the Companies Act 2014. The statutory accounts of GH Research PLC for the year ended December 31, 2021, are expected to be filed with the Companies Registration Office by November 26,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and amended IFRS standards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are no new IFRS standards, amendments to standards or interpretations that are mandatory for the financial year beginning on January 1, 2021, that are relevant to the Group and that have had any impact on the consolidated financial statements. New standards, amendments to standards and interpretations that are not yet effective have been deemed by the Group as currently not relevant and are not listed here.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basis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GH Research is a clinical-stage biopharmaceutical company developing innovative therapeutics. The Group is exposed to all risks inherent in establishing and developing its business, including the substantial uncertainty that current projects will succeed. Research and development expenses have been incurred from the start of the Group’s activities, generating negative cash flows from operating activities since formation.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its incorporation, the Group has funded its growth through capital increases. The Group has no bank loans or other debt outstanding as of December 31, 2021. As a result, the Group is not exposed to liquidity risk through requests for early repayment of loans.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3" w:name="page174"/>
    <w:bookmarkEnd w:id="17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97790</wp:posOffset>
            </wp:positionV>
            <wp:extent cx="1217295" cy="2400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1217295" cy="24003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GH RESEARCH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 Group’s cash and cash equivalents amounted to $276.8 million (2020: $5.9 million).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of directors believes that the Group has sufficient financial resources available to cover its planned cash outflows for at least the next twelve months from the date of issuance of these consolidated financial statements. The Group, therefore, continues to adopt the going concern basis in preparing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conversion and consolidation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27, 2021, the Company effected the conversion of its Series A preferred shares and Series B preferred shares into ordinary shares and it effected a 2.50-to-one share consolidation of its outstanding shares (see note 13, “Share capital and reserves”). Accordingly, all share and per share amounts for all financial years presented in these consolidated financial statements and notes thereto have been adjusted retroactively, where applicable, to reflect this share consolidation.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judgments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preparation of the consolidated financial statements requires management to make judgements, estimates and assumptions that affect the application of accounting policies and the reported amounts of assets and liabilities, income and expense. Actual results may differ from these estimates.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preparing these consolidated financial statements, the significant judgements made by management in applying the Group’s accounting policies and the key sources of estimation uncertainty included those that applied to the financial statements of GH Research Ireland Limited for the year ended December 31, 2020 and 2019, and are as follows: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Functional currency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explained in this note and in note 3, the functional currency of the subsidiary, GH Research Ireland Limited, is euro. Judgment was applied in the determination that euro was the appropriate functional currency of the subsidiary. The principal consideration supporting this decision was made by reference to the current activities the subsidiary undertakes which is the execution of clinical trials for which the costs are primarily in euro. Judgment was also applied in the determination that the U.S. dollar is the functional currency of the parent company with the principal considerations being that most of the expenses incurred and all funding raised are in U.S. dollars.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explained in note 15, the expected volatility assumption used was based on selected volatility determined by median values observed among other comparable public companies. Judgment was applied in the selection of comparable public companies and of the relevant period of observation used to determine the median values.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balances and the valuation of tax operating losses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period from incorporation of GH Research Ireland Limited to December 31, 2021, the Group has incurred losses, which are a potential benefit in the event that the Group reports a taxable profit in the future. In preparing these financial statements, the Group has assessed that the likelihood of a taxable profit is currently not sufficiently certain for these potential benefits to be recognized as a deferred tax asset. This assessment is based on the status of the research into the Group’s principal investigational product and the significant challenges that remain before operating profits can be assured (refer to note 8, “Deferred income taxes”).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consolidated financial statements incorporate the financial statements of the Company and its subsidiary, GH Research Ireland Limited. Subsidiaries are all entities over which the Company has control. Control is achieved when the Company has power over an entity, is exposed to or has rights to variable returns from its involvement with the entity and has the ability to affect returns through its power over the entity. Subsidiaries are fully consolidated from the date on which control is transferred to the Company. They are deconsolidated from the date that control ceases. All intercompany transactions have been eliminated.</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4" w:name="page175"/>
    <w:bookmarkEnd w:id="17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97790</wp:posOffset>
            </wp:positionV>
            <wp:extent cx="1217295" cy="2400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1217295" cy="24003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GH RESEARCH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functional currency of the Company is the U.S. dollar given it is listed on NASDAQ and its fundraising activities are in U.S. dollars. The functional currency of its subsidiary, GH Research Ireland Limited, is euro due to its expenses being mainly incurred in euro. These consolidated financial statements are presented in U.S. dollar which is the Group’s presentation currency.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Items included in the financial statement of the Company’s subsidiary are measured using the currency of the primary economic environment in which the entity operates which is the euro.</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Foreign currency transactions are translated into the functional currency using the exchange rates prevailing at the dates of the transactions. Monetary assets and liabilities denominated in foreign currencies are retranslated at the consolidated statement of financial position date. The subsidiary is holding a U.S. cash balance and, as a result of the accounting treatment, when it is translated to euro in the subsidiary accounts, it results in a foreign currency translation difference in the income statement. On consolidation, the subsidiary’s assets and liabilities in foreign currencies are retranslated and the resulting foreign currency difference goes through the foreign currency translation reserve.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 capital issuances are translated into U.S. dollars at the exchange rate prevailing when the contractual commitment is made. Foreign currency differences can arise on translation where the cash inflows are received in a different period to the contractual commitment.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represents cash held on bank current accounts and is carried at amortized cost.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plant and equipment are recorded at cost and depreciated using the straight-line method over the estimated useful lives of the respective assets, which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0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Estimated Useful Life</w:t>
            </w:r>
          </w:p>
        </w:tc>
      </w:tr>
      <w:tr>
        <w:trPr>
          <w:trHeight w:val="216"/>
        </w:trPr>
        <w:tc>
          <w:tcPr>
            <w:tcW w:w="90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IT equipment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Office equipment</w:t>
            </w: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3 years</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Medical equipment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 years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payables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and other current liabilities are recognized initially at fair value and subsequently measured at amortized cost.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options granted under the share option plan is recognized as a share-based compensation expense with a corresponding increase in equity.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total expense is recognized over the vesting period, which is the period over which all of the specified vesting conditions are to be satisfied.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 and additional paid-in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 capital represents the nominal value of outstanding shares (see note 13, “Share capital and reserves”).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paid-in capital</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Amounts of contribution in excess of nominal value are accounted for as additional paid-in capital. Incremental costs directly attributable to equity transactions such as the issue of new capital shares are shown in equity as a deduction, net of tax, from the proceeds within additional paid-in capital. Transaction costs that relate to equity and non-equity transactions are allocated to those transactions using a basis of allocation that is rational and consistent with similar transactions. If the equity instruments are not subsequently issued, the transaction costs would be expensed.</w:t>
      </w:r>
    </w:p>
    <w:p>
      <w:pPr>
        <w:sectPr>
          <w:pgSz w:w="11900" w:h="16838" w:orient="portrait"/>
          <w:cols w:equalWidth="0" w:num="1">
            <w:col w:w="11240"/>
          </w:cols>
          <w:pgMar w:left="320" w:top="122" w:right="339"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5" w:name="page176"/>
    <w:bookmarkEnd w:id="17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97790</wp:posOffset>
            </wp:positionV>
            <wp:extent cx="1217295" cy="2400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1217295" cy="24003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GH RESEARCH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and right-of-use assets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Group recognizes a right-of-use asset and a corresponding lease liability for all arrangements in which it is a lessee, except for leases with a term of 12 months or less (short-term leases) and low-value leases. For these short-term and low-value leases, the Group recognizes the lease payments as an operating expense on a straight-line basis over the term of the lease. Currently all of the Group’s lease arrangements comply with the criteria for exception.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consist of costs incurred in performing research and development activities, including salaries, share-based compensation and benefits, travel, and external costs of outside vendors engaged to conduct clinical development activities, clinical trials, technical development activities and the cost to manufacture clinical trial materials.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expenditure is recognized as an expense in the year in which it is incurred. Internal development expenditure is capitalized only if it meets the recognition criteria of IAS 38 “Intangible Assets”. Where regulatory and other uncertainties are such that the criteria are not met the expenditure is recognized in the statement of comprehensive income. When certain criteria are met, the Group may capitalize and amortize on a straight-line basis over its estimated useful life, internal development expenditures. To date, the Group has not capitalized any R&amp;D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relate to the administration of the Group including salaries, share-based compensation and benefits, travel and external costs including legal and professional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and deferred income tax</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tax expense for the financial year comprises current and deferred tax. Tax is recognized in the income statement, except to the extent that it relates to items recognized in other comprehensive income or directly in equity. In this case the related tax is recognized in other comprehensive income or directly in equity, respectively.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current income tax charge is calculated on the basis of the tax laws enacted or substantively enacted at the balance sheet date where the Group generates taxable income. Management periodically evaluates positions taken in tax returns with respect to situations in which applicable tax regulation is subject to interpretation. It establishes provisions where appropriate on the basis of amounts expected to be paid to the tax authorities.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Taxes on income are accrued in the same financial year as the revenues and expenses to which they relate. Current income tax assets and liabilities for the current financial year are measured at the amount expected to be recovered from or paid to the taxation authorities.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Deferred income tax assets are recognized only to the extent that it is probable that future taxable profit will be available against which the temporary differences or the unused tax losses can be utilized. Deferred income tax assets from tax credit carry-forwards are recognized to the extent that the national tax authority confirms the eligibility of such a claim and that the realization of the related tax benefit through future taxable profits is probable.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considers the Group to have only a single segment: Research and Development (“R&amp;D”). This is consistent with the way that information is reported internally within the Group for the purpose of allocating resources and assessing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Basic loss per share is calculated by dividing the net loss attributable to shareholders by the weighted average number of shares in issue during the year.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6" w:name="page177"/>
    <w:bookmarkEnd w:id="17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97790</wp:posOffset>
            </wp:positionV>
            <wp:extent cx="1217295" cy="2400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1217295" cy="24003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GH RESEARCH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66" w:lineRule="exact"/>
        <w:rPr>
          <w:sz w:val="20"/>
          <w:szCs w:val="20"/>
          <w:color w:val="auto"/>
        </w:rPr>
      </w:pPr>
    </w:p>
    <w:p>
      <w:pPr>
        <w:ind w:right="8780" w:firstLine="8"/>
        <w:spacing w:after="0" w:line="566" w:lineRule="auto"/>
        <w:tabs>
          <w:tab w:leader="none" w:pos="36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risk management Financial risk factors</w:t>
      </w:r>
    </w:p>
    <w:p>
      <w:pPr>
        <w:jc w:val="both"/>
        <w:spacing w:after="0" w:line="263" w:lineRule="auto"/>
        <w:rPr>
          <w:sz w:val="20"/>
          <w:szCs w:val="20"/>
          <w:color w:val="auto"/>
        </w:rPr>
      </w:pPr>
      <w:r>
        <w:rPr>
          <w:rFonts w:ascii="Arial" w:cs="Arial" w:eastAsia="Arial" w:hAnsi="Arial"/>
          <w:sz w:val="18"/>
          <w:szCs w:val="18"/>
          <w:color w:val="auto"/>
        </w:rPr>
        <w:t>The board of directors currently reviews the Group’s cash forecast and liquidity requirements. It considers that other financial risks are currently inconsequential to the Group’s activities and outlook. More sophisticated tools for financial risk management will be implemented once such risks are deemed consequential.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Group operates internationally and is exposed to foreign exchange risk arising from various currency exposures, primarily with respect to the U.S. dollar, euro and pounds sterling. Transaction exposure arises because the amount of local currency paid or received in transactions denominated in foreign currencies may vary due to changes in exchange rates. Foreign exchange risk arises from:</w:t>
      </w:r>
    </w:p>
    <w:p>
      <w:pPr>
        <w:spacing w:after="0" w:line="184"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forecast expenses denominated in a currency other than the entity’s functional currency; and</w:t>
      </w:r>
    </w:p>
    <w:p>
      <w:pPr>
        <w:spacing w:after="0" w:line="23" w:lineRule="exact"/>
        <w:rPr>
          <w:rFonts w:ascii="Arial" w:cs="Arial" w:eastAsia="Arial" w:hAnsi="Arial"/>
          <w:sz w:val="18"/>
          <w:szCs w:val="18"/>
          <w:b w:val="1"/>
          <w:bCs w:val="1"/>
          <w:color w:val="auto"/>
        </w:rPr>
      </w:pPr>
    </w:p>
    <w:p>
      <w:pPr>
        <w:ind w:left="340" w:hanging="332"/>
        <w:spacing w:after="0"/>
        <w:tabs>
          <w:tab w:leader="none" w:pos="34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recognized assets and liabilities denominated in a currency other than the entity’s functional currency.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Group’s cash and cash equivalents are denominated in the following currencies: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r>
      <w:tr>
        <w:trPr>
          <w:trHeight w:val="216"/>
        </w:trPr>
        <w:tc>
          <w:tcPr>
            <w:tcW w:w="6020" w:type="dxa"/>
            <w:vAlign w:val="bottom"/>
          </w:tcPr>
          <w:p>
            <w:pPr>
              <w:spacing w:after="0"/>
              <w:rPr>
                <w:sz w:val="18"/>
                <w:szCs w:val="18"/>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Local</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Local</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20" w:type="dxa"/>
            <w:vAlign w:val="bottom"/>
          </w:tcPr>
          <w:p>
            <w:pPr>
              <w:spacing w:after="0"/>
              <w:rPr>
                <w:sz w:val="18"/>
                <w:szCs w:val="18"/>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Currency</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Currency</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602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’000</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$’000</w:t>
            </w: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’000</w:t>
            </w:r>
          </w:p>
        </w:tc>
        <w:tc>
          <w:tcPr>
            <w:tcW w:w="11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$’000</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 USD</w:t>
            </w:r>
          </w:p>
        </w:tc>
        <w:tc>
          <w:tcPr>
            <w:tcW w:w="13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276,447</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276,447</w:t>
            </w: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In Euro</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290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329</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4,826</w:t>
            </w:r>
          </w:p>
        </w:tc>
        <w:tc>
          <w:tcPr>
            <w:tcW w:w="1160" w:type="dxa"/>
            <w:vAlign w:val="bottom"/>
          </w:tcPr>
          <w:p>
            <w:pPr>
              <w:jc w:val="right"/>
              <w:spacing w:after="0"/>
              <w:rPr>
                <w:sz w:val="20"/>
                <w:szCs w:val="20"/>
                <w:color w:val="auto"/>
              </w:rPr>
            </w:pPr>
            <w:r>
              <w:rPr>
                <w:rFonts w:ascii="Arial" w:cs="Arial" w:eastAsia="Arial" w:hAnsi="Arial"/>
                <w:sz w:val="18"/>
                <w:szCs w:val="18"/>
                <w:color w:val="auto"/>
              </w:rPr>
              <w:t>5,895</w:t>
            </w:r>
          </w:p>
        </w:tc>
        <w:tc>
          <w:tcPr>
            <w:tcW w:w="2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276,776</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5,895</w:t>
            </w: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Group is exposed to foreign exchange risk in its subsidiary as its functional currency is euro. The subsidiary holds significant cash deposits denominated in U.S. dollar. Accordingly, future changes in the exchange rates of euro and the U.S. dollar will expose the Group to currency gains or losses that will impact the reported amounts of assets, liabilities, income and expenses and the impact could be material.</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2021, the Group recognized a foreign exchange gain of $5.9 million (2020: $nil). The foreign exchange gain was primarily related to the U.S. dollar cash holding of its subsidiary and the associated strengthening of the U.S. dollar compared to euro during the year. While the Group benefited from changes in foreign exchange rates in 2021, it is possible that foreign exchange losses could occur. Any occurrences of foreign exchange losses would negatively affect the Group and the effect could be material.</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Group does not believe there is currently a need to enter into specific contracts to reduce the exposure to changes in foreign exchange rates, such as by entering into options or forward contracts. The Group may in the future consider using options or forward contracts to manage currency transaction exposures.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2021, if the U.S. dollar had weakened / strengthened by 10% against the euro with all other variables held constant, the loss before tax for the year would have been $10 million higher / lower, mainly related to the translation of cash held in U.S. dollar in the Company’s subsidiary, GH Research Ireland Limited, whose functional currency is euro as explained in note 2, “Basis of preparation, significant judgments, and accounting policies”(2020: $nil higher / lower).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Group is not currently exposed to significant credit risk except on its cash and cash equivalents. The Group’s cash balance is maintained with well established, highly rated financial institutions. As of December 31, 2021, the cash balances are held at one bank that has S&amp;P’s credit rating of BBB+. The Group does not invest in equity instruments or derivatives.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7" w:name="page178"/>
    <w:bookmarkEnd w:id="17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97790</wp:posOffset>
            </wp:positionV>
            <wp:extent cx="1217295" cy="2400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1217295" cy="24003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GH RESEARCH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Liquidity risk is the risk that the Group may not be able to generate sufficient cash resources to settle its obligations in full as they fall due or can do so only on terms that are materially disadvantageous. Prudent liquidity risk management implies maintaining sufficient cash to cover working capital requirements. Cash is monitored by the Group’s management.</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Funding and liquidity risks are reviewed regularly by the board of directors and management. The Group funds its capital requirements through capital raising.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Group considers equity as equivalent to the IFRS equity on the balance sheet (including share capital, additional paid-in capital and all other equity reserves attributable to the owners of the Company). The Group has no interest-bearing debt.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Group’s objectives when managing capital are to safeguard the Group’s ability to continue as a going concern and to provide returns to its shareholders through advancing our investigational pharmaceutical product candidates towards regulatory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estimation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is considered to be identical to the fair value for the following financial assets and liabilities:</w:t>
      </w:r>
    </w:p>
    <w:p>
      <w:pPr>
        <w:spacing w:after="0" w:line="225" w:lineRule="exact"/>
        <w:rPr>
          <w:sz w:val="20"/>
          <w:szCs w:val="20"/>
          <w:color w:val="auto"/>
        </w:rPr>
      </w:pPr>
    </w:p>
    <w:p>
      <w:pPr>
        <w:ind w:left="820" w:hanging="488"/>
        <w:spacing w:after="0"/>
        <w:tabs>
          <w:tab w:leader="none" w:pos="8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3" w:lineRule="exact"/>
        <w:rPr>
          <w:rFonts w:ascii="Arial" w:cs="Arial" w:eastAsia="Arial" w:hAnsi="Arial"/>
          <w:sz w:val="18"/>
          <w:szCs w:val="18"/>
          <w:color w:val="auto"/>
        </w:rPr>
      </w:pPr>
    </w:p>
    <w:p>
      <w:pPr>
        <w:ind w:left="820" w:hanging="488"/>
        <w:spacing w:after="0"/>
        <w:tabs>
          <w:tab w:leader="none" w:pos="8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Other current assets</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Trade payables and other current liabilities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significant changes in the business or economic circumstances that affect the fair value of the Group’s financial assets and financial liabilities.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Fair values must be estimated on an ongoing basis with regard to awards under the Share Option Plan. The approach to valuation follows the grant date fair value principle and the key input factors are described for the share-based compensation awards in note 15, “Share-based compensation”.</w:t>
      </w:r>
    </w:p>
    <w:p>
      <w:pPr>
        <w:spacing w:after="0" w:line="142" w:lineRule="exact"/>
        <w:rPr>
          <w:sz w:val="20"/>
          <w:szCs w:val="20"/>
          <w:color w:val="auto"/>
        </w:rPr>
      </w:pPr>
    </w:p>
    <w:p>
      <w:pPr>
        <w:ind w:left="360" w:hanging="352"/>
        <w:spacing w:after="0"/>
        <w:tabs>
          <w:tab w:leader="none" w:pos="3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Expenses by nature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consolidated statement of comprehensive income classification of our expense by nature: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rPr>
              <w:t>Year ended</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260" w:type="dxa"/>
            <w:vAlign w:val="bottom"/>
          </w:tcPr>
          <w:p>
            <w:pPr>
              <w:jc w:val="right"/>
              <w:ind w:right="430"/>
              <w:spacing w:after="0" w:line="198" w:lineRule="exact"/>
              <w:rPr>
                <w:sz w:val="20"/>
                <w:szCs w:val="20"/>
                <w:color w:val="auto"/>
              </w:rPr>
            </w:pPr>
            <w:r>
              <w:rPr>
                <w:rFonts w:ascii="Arial" w:cs="Arial" w:eastAsia="Arial" w:hAnsi="Arial"/>
                <w:sz w:val="18"/>
                <w:szCs w:val="18"/>
                <w:b w:val="1"/>
                <w:bCs w:val="1"/>
                <w:color w:val="auto"/>
              </w:rPr>
              <w:t>2021</w:t>
            </w:r>
          </w:p>
        </w:tc>
        <w:tc>
          <w:tcPr>
            <w:tcW w:w="1520" w:type="dxa"/>
            <w:vAlign w:val="bottom"/>
          </w:tcPr>
          <w:p>
            <w:pPr>
              <w:jc w:val="right"/>
              <w:ind w:right="590"/>
              <w:spacing w:after="0" w:line="198" w:lineRule="exact"/>
              <w:rPr>
                <w:sz w:val="20"/>
                <w:szCs w:val="20"/>
                <w:color w:val="auto"/>
              </w:rPr>
            </w:pPr>
            <w:r>
              <w:rPr>
                <w:rFonts w:ascii="Arial" w:cs="Arial" w:eastAsia="Arial" w:hAnsi="Arial"/>
                <w:sz w:val="18"/>
                <w:szCs w:val="18"/>
                <w:b w:val="1"/>
                <w:bCs w:val="1"/>
                <w:color w:val="auto"/>
              </w:rPr>
              <w:t>2020</w:t>
            </w:r>
          </w:p>
        </w:tc>
        <w:tc>
          <w:tcPr>
            <w:tcW w:w="108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$’000</w:t>
            </w:r>
          </w:p>
        </w:tc>
        <w:tc>
          <w:tcPr>
            <w:tcW w:w="152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$’000</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$’000</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Research and development</w:t>
            </w:r>
          </w:p>
        </w:tc>
        <w:tc>
          <w:tcPr>
            <w:tcW w:w="5300" w:type="dxa"/>
            <w:vAlign w:val="bottom"/>
            <w:tcBorders>
              <w:bottom w:val="single" w:sz="8" w:color="CCEEFF"/>
            </w:tcBorders>
            <w:gridSpan w:val="2"/>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gridSpan w:val="3"/>
          </w:tcPr>
          <w:p>
            <w:pPr>
              <w:spacing w:after="0" w:line="216" w:lineRule="exact"/>
              <w:rPr>
                <w:sz w:val="20"/>
                <w:szCs w:val="20"/>
                <w:color w:val="auto"/>
              </w:rPr>
            </w:pPr>
            <w:r>
              <w:rPr>
                <w:rFonts w:ascii="Arial" w:cs="Arial" w:eastAsia="Arial" w:hAnsi="Arial"/>
                <w:sz w:val="16"/>
                <w:szCs w:val="16"/>
                <w:color w:val="auto"/>
              </w:rPr>
              <w:t xml:space="preserve">External costs </w:t>
            </w:r>
            <w:r>
              <w:rPr>
                <w:rFonts w:ascii="Arial" w:cs="Arial" w:eastAsia="Arial" w:hAnsi="Arial"/>
                <w:sz w:val="25"/>
                <w:szCs w:val="25"/>
                <w:color w:val="auto"/>
                <w:vertAlign w:val="superscript"/>
              </w:rPr>
              <w:t>(1)</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7,134</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338</w:t>
            </w:r>
          </w:p>
        </w:tc>
        <w:tc>
          <w:tcPr>
            <w:tcW w:w="1080" w:type="dxa"/>
            <w:vAlign w:val="bottom"/>
          </w:tcPr>
          <w:p>
            <w:pPr>
              <w:jc w:val="right"/>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80" w:type="dxa"/>
            <w:vAlign w:val="bottom"/>
            <w:tcBorders>
              <w:bottom w:val="single" w:sz="8" w:color="CCEEFF"/>
            </w:tcBorders>
            <w:gridSpan w:val="3"/>
            <w:shd w:val="clear" w:color="auto" w:fill="CCEEFF"/>
          </w:tcPr>
          <w:p>
            <w:pPr>
              <w:spacing w:after="0" w:line="216" w:lineRule="exact"/>
              <w:rPr>
                <w:sz w:val="20"/>
                <w:szCs w:val="20"/>
                <w:color w:val="auto"/>
              </w:rPr>
            </w:pPr>
            <w:r>
              <w:rPr>
                <w:rFonts w:ascii="Arial" w:cs="Arial" w:eastAsia="Arial" w:hAnsi="Arial"/>
                <w:sz w:val="16"/>
                <w:szCs w:val="16"/>
                <w:color w:val="auto"/>
              </w:rPr>
              <w:t xml:space="preserve">Employee expenses </w:t>
            </w:r>
            <w:r>
              <w:rPr>
                <w:rFonts w:ascii="Arial" w:cs="Arial" w:eastAsia="Arial" w:hAnsi="Arial"/>
                <w:sz w:val="25"/>
                <w:szCs w:val="25"/>
                <w:color w:val="auto"/>
                <w:vertAlign w:val="superscript"/>
              </w:rPr>
              <w:t>(2)</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1,419</w:t>
            </w:r>
          </w:p>
        </w:tc>
        <w:tc>
          <w:tcPr>
            <w:tcW w:w="1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8,553</w:t>
            </w: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338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38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General and administrative</w:t>
            </w:r>
          </w:p>
        </w:tc>
        <w:tc>
          <w:tcPr>
            <w:tcW w:w="1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8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 xml:space="preserve">External costs </w:t>
            </w:r>
            <w:r>
              <w:rPr>
                <w:rFonts w:ascii="Arial" w:cs="Arial" w:eastAsia="Arial" w:hAnsi="Arial"/>
                <w:sz w:val="25"/>
                <w:szCs w:val="25"/>
                <w:color w:val="auto"/>
                <w:vertAlign w:val="superscript"/>
              </w:rPr>
              <w:t>(1)</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5,623</w:t>
            </w:r>
          </w:p>
        </w:tc>
        <w:tc>
          <w:tcPr>
            <w:tcW w:w="1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80" w:type="dxa"/>
            <w:vAlign w:val="bottom"/>
            <w:gridSpan w:val="3"/>
          </w:tcPr>
          <w:p>
            <w:pPr>
              <w:spacing w:after="0" w:line="216" w:lineRule="exact"/>
              <w:rPr>
                <w:sz w:val="20"/>
                <w:szCs w:val="20"/>
                <w:color w:val="auto"/>
              </w:rPr>
            </w:pPr>
            <w:r>
              <w:rPr>
                <w:rFonts w:ascii="Arial" w:cs="Arial" w:eastAsia="Arial" w:hAnsi="Arial"/>
                <w:sz w:val="16"/>
                <w:szCs w:val="16"/>
                <w:color w:val="auto"/>
              </w:rPr>
              <w:t xml:space="preserve">Employee expenses </w:t>
            </w:r>
            <w:r>
              <w:rPr>
                <w:rFonts w:ascii="Arial" w:cs="Arial" w:eastAsia="Arial" w:hAnsi="Arial"/>
                <w:sz w:val="25"/>
                <w:szCs w:val="25"/>
                <w:color w:val="auto"/>
                <w:vertAlign w:val="superscript"/>
              </w:rPr>
              <w:t>(2)</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924</w:t>
            </w: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6,547</w:t>
            </w:r>
          </w:p>
        </w:tc>
        <w:tc>
          <w:tcPr>
            <w:tcW w:w="1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Total operating expenses</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15,100</w:t>
            </w: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446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20" w:hanging="212"/>
        <w:spacing w:after="0"/>
        <w:tabs>
          <w:tab w:leader="none" w:pos="220" w:val="left"/>
        </w:tabs>
        <w:numPr>
          <w:ilvl w:val="0"/>
          <w:numId w:val="116"/>
        </w:numPr>
        <w:rPr>
          <w:rFonts w:ascii="Arial" w:cs="Arial" w:eastAsia="Arial" w:hAnsi="Arial"/>
          <w:sz w:val="26"/>
          <w:szCs w:val="26"/>
          <w:color w:val="auto"/>
          <w:vertAlign w:val="superscript"/>
        </w:rPr>
      </w:pPr>
      <w:r>
        <w:rPr>
          <w:rFonts w:ascii="Arial" w:cs="Arial" w:eastAsia="Arial" w:hAnsi="Arial"/>
          <w:sz w:val="16"/>
          <w:szCs w:val="16"/>
          <w:color w:val="auto"/>
        </w:rPr>
        <w:t>Includes depreciation expense (see note 10, “Property, plant and equipment”).</w:t>
      </w:r>
    </w:p>
    <w:p>
      <w:pPr>
        <w:spacing w:after="0" w:line="149" w:lineRule="exact"/>
        <w:rPr>
          <w:rFonts w:ascii="Arial" w:cs="Arial" w:eastAsia="Arial" w:hAnsi="Arial"/>
          <w:sz w:val="26"/>
          <w:szCs w:val="26"/>
          <w:color w:val="auto"/>
          <w:vertAlign w:val="superscript"/>
        </w:rPr>
      </w:pPr>
    </w:p>
    <w:p>
      <w:pPr>
        <w:ind w:left="220" w:hanging="212"/>
        <w:spacing w:after="0" w:line="226" w:lineRule="auto"/>
        <w:tabs>
          <w:tab w:leader="none" w:pos="220" w:val="left"/>
        </w:tabs>
        <w:numPr>
          <w:ilvl w:val="0"/>
          <w:numId w:val="116"/>
        </w:numPr>
        <w:rPr>
          <w:rFonts w:ascii="Arial" w:cs="Arial" w:eastAsia="Arial" w:hAnsi="Arial"/>
          <w:sz w:val="26"/>
          <w:szCs w:val="26"/>
          <w:color w:val="auto"/>
          <w:vertAlign w:val="superscript"/>
        </w:rPr>
      </w:pPr>
      <w:r>
        <w:rPr>
          <w:rFonts w:ascii="Arial" w:cs="Arial" w:eastAsia="Arial" w:hAnsi="Arial"/>
          <w:sz w:val="16"/>
          <w:szCs w:val="16"/>
          <w:color w:val="auto"/>
        </w:rPr>
        <w:t>Includes share-based compensation expense (see note 15, “Share-based compensation”).</w:t>
      </w:r>
    </w:p>
    <w:p>
      <w:pPr>
        <w:sectPr>
          <w:pgSz w:w="11900" w:h="16838" w:orient="portrait"/>
          <w:cols w:equalWidth="0" w:num="1">
            <w:col w:w="11240"/>
          </w:cols>
          <w:pgMar w:left="320" w:top="122" w:right="3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8" w:name="page179"/>
    <w:bookmarkEnd w:id="17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97790</wp:posOffset>
            </wp:positionV>
            <wp:extent cx="1217295" cy="2400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1217295" cy="24003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GH RESEARCH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research and development expenses in the year ended December 31, 2021 was primarily due to increased external costs relating to our technical development and clinical trials and employee expenses relating to the hiring of personnel in our research and development team to support the requirements of increased clinical activities. The increase in research and development expenses in the year ended December 31, 2020 was primarily due to increased external costs relating to our clinical trials.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general and administrative expenses for the year ended December 31, 2021 was primarily due to costs incurred in preparation for our initial public offering, as well as subsequent higher professional and compliance fees associated with being a public company, and increased employee expenses in our general and administrative functions to support our growth initiatives. The increase in general and administrative expenses for the year ended December 31, 2020 was primarily due to increased external costs relating to professional fees.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differences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Foreign currency translation differences of $5.9 million for the year ended December 31, 2021 (2020: $nil, 2019: $nil) consist primarily of gains related to the translation of U.S. dollar cash balance into euro in the accounts of the Company’s subsidiary, GH Research Ireland Limited, whose functional currency is euro as explained in note 2, “Basis of preparation, significant judgments, and accounting policies”.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Arial" w:cs="Arial" w:eastAsia="Arial" w:hAnsi="Arial"/>
                <w:sz w:val="18"/>
                <w:szCs w:val="18"/>
                <w:b w:val="1"/>
                <w:bCs w:val="1"/>
                <w:color w:val="auto"/>
              </w:rPr>
              <w:t>5.   Employee expenses</w:t>
            </w:r>
          </w:p>
        </w:tc>
        <w:tc>
          <w:tcPr>
            <w:tcW w:w="1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7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rPr>
              <w:t>Year ended</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73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7380" w:type="dxa"/>
            <w:vAlign w:val="bottom"/>
          </w:tcPr>
          <w:p>
            <w:pPr>
              <w:spacing w:after="0"/>
              <w:rPr>
                <w:sz w:val="17"/>
                <w:szCs w:val="17"/>
                <w:color w:val="auto"/>
              </w:rPr>
            </w:pPr>
          </w:p>
        </w:tc>
        <w:tc>
          <w:tcPr>
            <w:tcW w:w="1260" w:type="dxa"/>
            <w:vAlign w:val="bottom"/>
          </w:tcPr>
          <w:p>
            <w:pPr>
              <w:jc w:val="right"/>
              <w:ind w:right="430"/>
              <w:spacing w:after="0" w:line="198" w:lineRule="exact"/>
              <w:rPr>
                <w:sz w:val="20"/>
                <w:szCs w:val="20"/>
                <w:color w:val="auto"/>
              </w:rPr>
            </w:pPr>
            <w:r>
              <w:rPr>
                <w:rFonts w:ascii="Arial" w:cs="Arial" w:eastAsia="Arial" w:hAnsi="Arial"/>
                <w:sz w:val="18"/>
                <w:szCs w:val="18"/>
                <w:b w:val="1"/>
                <w:bCs w:val="1"/>
                <w:color w:val="auto"/>
              </w:rPr>
              <w:t>2021</w:t>
            </w:r>
          </w:p>
        </w:tc>
        <w:tc>
          <w:tcPr>
            <w:tcW w:w="1520" w:type="dxa"/>
            <w:vAlign w:val="bottom"/>
          </w:tcPr>
          <w:p>
            <w:pPr>
              <w:jc w:val="right"/>
              <w:ind w:right="590"/>
              <w:spacing w:after="0" w:line="198" w:lineRule="exact"/>
              <w:rPr>
                <w:sz w:val="20"/>
                <w:szCs w:val="20"/>
                <w:color w:val="auto"/>
              </w:rPr>
            </w:pPr>
            <w:r>
              <w:rPr>
                <w:rFonts w:ascii="Arial" w:cs="Arial" w:eastAsia="Arial" w:hAnsi="Arial"/>
                <w:sz w:val="18"/>
                <w:szCs w:val="18"/>
                <w:b w:val="1"/>
                <w:bCs w:val="1"/>
                <w:color w:val="auto"/>
              </w:rPr>
              <w:t>2020</w:t>
            </w:r>
          </w:p>
        </w:tc>
        <w:tc>
          <w:tcPr>
            <w:tcW w:w="108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7"/>
                <w:szCs w:val="17"/>
                <w:color w:val="auto"/>
              </w:rPr>
            </w:pPr>
          </w:p>
        </w:tc>
      </w:tr>
      <w:tr>
        <w:trPr>
          <w:trHeight w:val="241"/>
        </w:trPr>
        <w:tc>
          <w:tcPr>
            <w:tcW w:w="7380" w:type="dxa"/>
            <w:vAlign w:val="bottom"/>
          </w:tcPr>
          <w:p>
            <w:pPr>
              <w:spacing w:after="0"/>
              <w:rPr>
                <w:sz w:val="20"/>
                <w:szCs w:val="20"/>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$’000</w:t>
            </w:r>
          </w:p>
        </w:tc>
        <w:tc>
          <w:tcPr>
            <w:tcW w:w="152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$’000</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$’000</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1,862</w:t>
            </w:r>
          </w:p>
        </w:tc>
        <w:tc>
          <w:tcPr>
            <w:tcW w:w="15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w:t>
            </w:r>
          </w:p>
        </w:tc>
        <w:tc>
          <w:tcPr>
            <w:tcW w:w="10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Social security costs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r>
      <w:tr>
        <w:trPr>
          <w:trHeight w:val="223"/>
        </w:trPr>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Shared based compensation expense</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366</w:t>
            </w:r>
          </w:p>
        </w:tc>
        <w:tc>
          <w:tcPr>
            <w:tcW w:w="1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r>
      <w:tr>
        <w:trPr>
          <w:trHeight w:val="223"/>
        </w:trPr>
        <w:tc>
          <w:tcPr>
            <w:tcW w:w="7380" w:type="dxa"/>
            <w:vAlign w:val="bottom"/>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2,343</w:t>
            </w: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w:t>
            </w:r>
          </w:p>
        </w:tc>
        <w:tc>
          <w:tcPr>
            <w:tcW w:w="108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w w:val="88"/>
              </w:rPr>
              <w:t>—</w:t>
            </w:r>
          </w:p>
        </w:tc>
        <w:tc>
          <w:tcPr>
            <w:tcW w:w="20" w:type="dxa"/>
            <w:vAlign w:val="bottom"/>
            <w:tcBorders>
              <w:bottom w:val="single" w:sz="8" w:color="auto"/>
            </w:tcBorders>
          </w:tcPr>
          <w:p>
            <w:pPr>
              <w:spacing w:after="0"/>
              <w:rPr>
                <w:sz w:val="19"/>
                <w:szCs w:val="19"/>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increase is primarily due to the increased hiring of personnel across our functions to support the requirements of increased clinical activities and becoming a public company. A shared based compensation expense of $366 thousand has been recognized for the year ended December 31, 2021 relating to the Share Option Plan as set out in note 15.</w:t>
      </w:r>
    </w:p>
    <w:p>
      <w:pPr>
        <w:spacing w:after="0" w:line="180" w:lineRule="exact"/>
        <w:rPr>
          <w:sz w:val="20"/>
          <w:szCs w:val="20"/>
          <w:color w:val="auto"/>
        </w:rPr>
      </w:pPr>
    </w:p>
    <w:p>
      <w:pPr>
        <w:ind w:left="360" w:hanging="352"/>
        <w:spacing w:after="0"/>
        <w:tabs>
          <w:tab w:leader="none" w:pos="3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Group incurred lease expenses for short-term leases as follows:</w:t>
      </w:r>
    </w:p>
    <w:p>
      <w:pPr>
        <w:spacing w:after="0" w:line="221"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80" w:type="dxa"/>
            <w:vAlign w:val="bottom"/>
          </w:tcPr>
          <w:p>
            <w:pPr>
              <w:spacing w:after="0"/>
              <w:rPr>
                <w:sz w:val="17"/>
                <w:szCs w:val="17"/>
                <w:color w:val="auto"/>
              </w:rPr>
            </w:pPr>
          </w:p>
        </w:tc>
        <w:tc>
          <w:tcPr>
            <w:tcW w:w="860" w:type="dxa"/>
            <w:vAlign w:val="bottom"/>
            <w:tcBorders>
              <w:top w:val="single" w:sz="8" w:color="auto"/>
            </w:tcBorders>
          </w:tcPr>
          <w:p>
            <w:pPr>
              <w:jc w:val="right"/>
              <w:ind w:right="30"/>
              <w:spacing w:after="0" w:line="205" w:lineRule="exact"/>
              <w:rPr>
                <w:sz w:val="20"/>
                <w:szCs w:val="20"/>
                <w:color w:val="auto"/>
              </w:rPr>
            </w:pPr>
            <w:r>
              <w:rPr>
                <w:rFonts w:ascii="Arial" w:cs="Arial" w:eastAsia="Arial" w:hAnsi="Arial"/>
                <w:sz w:val="18"/>
                <w:szCs w:val="18"/>
                <w:b w:val="1"/>
                <w:bCs w:val="1"/>
                <w:color w:val="auto"/>
              </w:rPr>
              <w:t>2021</w:t>
            </w:r>
          </w:p>
        </w:tc>
        <w:tc>
          <w:tcPr>
            <w:tcW w:w="1400" w:type="dxa"/>
            <w:vAlign w:val="bottom"/>
            <w:tcBorders>
              <w:top w:val="single" w:sz="8" w:color="auto"/>
            </w:tcBorders>
          </w:tcPr>
          <w:p>
            <w:pPr>
              <w:jc w:val="right"/>
              <w:ind w:right="70"/>
              <w:spacing w:after="0" w:line="205" w:lineRule="exact"/>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10"/>
              <w:spacing w:after="0" w:line="205" w:lineRule="exact"/>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7"/>
                <w:szCs w:val="17"/>
                <w:color w:val="auto"/>
              </w:rPr>
            </w:pPr>
          </w:p>
        </w:tc>
      </w:tr>
      <w:tr>
        <w:trPr>
          <w:trHeight w:val="241"/>
        </w:trPr>
        <w:tc>
          <w:tcPr>
            <w:tcW w:w="7380" w:type="dxa"/>
            <w:vAlign w:val="bottom"/>
          </w:tcPr>
          <w:p>
            <w:pPr>
              <w:spacing w:after="0"/>
              <w:rPr>
                <w:sz w:val="20"/>
                <w:szCs w:val="20"/>
                <w:color w:val="auto"/>
              </w:rPr>
            </w:pPr>
          </w:p>
        </w:tc>
        <w:tc>
          <w:tcPr>
            <w:tcW w:w="86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$’000</w:t>
            </w:r>
          </w:p>
        </w:tc>
        <w:tc>
          <w:tcPr>
            <w:tcW w:w="1400" w:type="dxa"/>
            <w:vAlign w:val="bottom"/>
          </w:tcPr>
          <w:p>
            <w:pPr>
              <w:jc w:val="center"/>
              <w:ind w:left="610"/>
              <w:spacing w:after="0"/>
              <w:rPr>
                <w:sz w:val="20"/>
                <w:szCs w:val="20"/>
                <w:color w:val="auto"/>
              </w:rPr>
            </w:pPr>
            <w:r>
              <w:rPr>
                <w:rFonts w:ascii="Arial" w:cs="Arial" w:eastAsia="Arial" w:hAnsi="Arial"/>
                <w:sz w:val="18"/>
                <w:szCs w:val="18"/>
                <w:b w:val="1"/>
                <w:bCs w:val="1"/>
                <w:color w:val="auto"/>
                <w:w w:val="93"/>
              </w:rPr>
              <w:t>$’000</w:t>
            </w:r>
          </w:p>
        </w:tc>
        <w:tc>
          <w:tcPr>
            <w:tcW w:w="520" w:type="dxa"/>
            <w:vAlign w:val="bottom"/>
          </w:tcPr>
          <w:p>
            <w:pPr>
              <w:spacing w:after="0"/>
              <w:rPr>
                <w:sz w:val="20"/>
                <w:szCs w:val="20"/>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$’000</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Lease expenses for short-term leases</w:t>
            </w:r>
          </w:p>
        </w:tc>
        <w:tc>
          <w:tcPr>
            <w:tcW w:w="8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rPr>
              <w:t>76</w:t>
            </w:r>
          </w:p>
        </w:tc>
        <w:tc>
          <w:tcPr>
            <w:tcW w:w="5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w:t>
            </w:r>
          </w:p>
        </w:tc>
        <w:tc>
          <w:tcPr>
            <w:tcW w:w="10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r>
      <w:tr>
        <w:trPr>
          <w:trHeight w:val="568"/>
        </w:trPr>
        <w:tc>
          <w:tcPr>
            <w:tcW w:w="8240" w:type="dxa"/>
            <w:vAlign w:val="bottom"/>
            <w:gridSpan w:val="2"/>
          </w:tcPr>
          <w:p>
            <w:pPr>
              <w:ind w:left="5480"/>
              <w:spacing w:after="0"/>
              <w:rPr>
                <w:sz w:val="20"/>
                <w:szCs w:val="20"/>
                <w:color w:val="auto"/>
              </w:rPr>
            </w:pPr>
            <w:r>
              <w:rPr>
                <w:rFonts w:ascii="Arial" w:cs="Arial" w:eastAsia="Arial" w:hAnsi="Arial"/>
                <w:sz w:val="14"/>
                <w:szCs w:val="14"/>
                <w:color w:val="auto"/>
              </w:rPr>
              <w:t>F-14</w:t>
            </w: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
        </w:trPr>
        <w:tc>
          <w:tcPr>
            <w:tcW w:w="7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79" w:name="page180"/>
    <w:bookmarkEnd w:id="17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97790</wp:posOffset>
            </wp:positionV>
            <wp:extent cx="1217295" cy="2400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1217295" cy="24003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GH RESEARCH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66" w:lineRule="exact"/>
        <w:rPr>
          <w:sz w:val="20"/>
          <w:szCs w:val="20"/>
          <w:color w:val="auto"/>
        </w:rPr>
      </w:pPr>
    </w:p>
    <w:p>
      <w:pPr>
        <w:ind w:left="360" w:hanging="352"/>
        <w:spacing w:after="0"/>
        <w:tabs>
          <w:tab w:leader="none" w:pos="3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Group’s expected tax charge/(credit) of $nil for each year is based on the applicable tax rate in Ireland and reconciles to the actual tax charge/(credit)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Year ended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5"/>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7320" w:type="dxa"/>
            <w:vAlign w:val="bottom"/>
          </w:tcPr>
          <w:p>
            <w:pPr>
              <w:spacing w:after="0"/>
              <w:rPr>
                <w:sz w:val="17"/>
                <w:szCs w:val="17"/>
                <w:color w:val="auto"/>
              </w:rPr>
            </w:pPr>
          </w:p>
        </w:tc>
        <w:tc>
          <w:tcPr>
            <w:tcW w:w="1300" w:type="dxa"/>
            <w:vAlign w:val="bottom"/>
          </w:tcPr>
          <w:p>
            <w:pPr>
              <w:jc w:val="right"/>
              <w:ind w:right="450"/>
              <w:spacing w:after="0" w:line="198" w:lineRule="exact"/>
              <w:rPr>
                <w:sz w:val="20"/>
                <w:szCs w:val="20"/>
                <w:color w:val="auto"/>
              </w:rPr>
            </w:pPr>
            <w:r>
              <w:rPr>
                <w:rFonts w:ascii="Arial" w:cs="Arial" w:eastAsia="Arial" w:hAnsi="Arial"/>
                <w:sz w:val="18"/>
                <w:szCs w:val="18"/>
                <w:b w:val="1"/>
                <w:bCs w:val="1"/>
                <w:color w:val="auto"/>
              </w:rPr>
              <w:t>2021</w:t>
            </w:r>
          </w:p>
        </w:tc>
        <w:tc>
          <w:tcPr>
            <w:tcW w:w="1500" w:type="dxa"/>
            <w:vAlign w:val="bottom"/>
          </w:tcPr>
          <w:p>
            <w:pPr>
              <w:jc w:val="right"/>
              <w:ind w:right="590"/>
              <w:spacing w:after="0" w:line="198" w:lineRule="exact"/>
              <w:rPr>
                <w:sz w:val="20"/>
                <w:szCs w:val="20"/>
                <w:color w:val="auto"/>
              </w:rPr>
            </w:pPr>
            <w:r>
              <w:rPr>
                <w:rFonts w:ascii="Arial" w:cs="Arial" w:eastAsia="Arial" w:hAnsi="Arial"/>
                <w:sz w:val="18"/>
                <w:szCs w:val="18"/>
                <w:b w:val="1"/>
                <w:bCs w:val="1"/>
                <w:color w:val="auto"/>
              </w:rPr>
              <w:t>2020</w:t>
            </w:r>
          </w:p>
        </w:tc>
        <w:tc>
          <w:tcPr>
            <w:tcW w:w="102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r>
      <w:tr>
        <w:trPr>
          <w:trHeight w:val="241"/>
        </w:trPr>
        <w:tc>
          <w:tcPr>
            <w:tcW w:w="732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$’000</w:t>
            </w:r>
          </w:p>
        </w:tc>
        <w:tc>
          <w:tcPr>
            <w:tcW w:w="1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$’000</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$’000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w:t>
            </w:r>
          </w:p>
        </w:tc>
        <w:tc>
          <w:tcPr>
            <w:tcW w:w="13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9,202</w:t>
            </w:r>
          </w:p>
        </w:tc>
        <w:tc>
          <w:tcPr>
            <w:tcW w:w="150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446</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Tax credit calculated at the domestic tax rate 12.5%</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(1,150)</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(56)</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Tax effects of:</w:t>
            </w:r>
          </w:p>
        </w:tc>
        <w:tc>
          <w:tcPr>
            <w:tcW w:w="1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Losses for which no deferred tax asset was recognized</w:t>
            </w: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1,150</w:t>
            </w: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charge/(credit)</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current tax charge was recognized in the years ended December 31, 2021, 2020 and 2019, respectively, as no amount is expected to be payable or recoverable on the taxable results for those years.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Deferred income taxes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December 31, 2021, the Group had unused net losses of $10 million (2020: $835 thousand). In order to utilize any of these unused losses, the Group would need to be regarded as carrying on a trade for Irish corporate tax purposes. Once regarded as carrying on a trade and subject to other conditions being met, such as, that the related expenses giving rise to the losses are tax deductible, the unused tax losses can be carried forward indefinitely against future trading income. On this basis, the Group has concluded that no deferred tax assets at December 31, 2021 or 2020 should be recognized. There is no certainty that we will generate sufficient taxable profits within the required timeframe to be able to utilize these tax loss carry-forwards in full.</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Arial" w:cs="Arial" w:eastAsia="Arial" w:hAnsi="Arial"/>
                <w:sz w:val="18"/>
                <w:szCs w:val="18"/>
                <w:b w:val="1"/>
                <w:bCs w:val="1"/>
                <w:color w:val="auto"/>
              </w:rPr>
              <w:t>9.  Other current assets</w:t>
            </w:r>
          </w:p>
        </w:tc>
        <w:tc>
          <w:tcPr>
            <w:tcW w:w="50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36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700" w:type="dxa"/>
            <w:vAlign w:val="bottom"/>
          </w:tcPr>
          <w:p>
            <w:pPr>
              <w:jc w:val="center"/>
              <w:ind w:left="710"/>
              <w:spacing w:after="0"/>
              <w:rPr>
                <w:sz w:val="20"/>
                <w:szCs w:val="20"/>
                <w:color w:val="auto"/>
              </w:rPr>
            </w:pPr>
            <w:r>
              <w:rPr>
                <w:rFonts w:ascii="Arial" w:cs="Arial" w:eastAsia="Arial" w:hAnsi="Arial"/>
                <w:sz w:val="18"/>
                <w:szCs w:val="18"/>
                <w:b w:val="1"/>
                <w:bCs w:val="1"/>
                <w:color w:val="auto"/>
                <w:w w:val="88"/>
              </w:rPr>
              <w:t>Year ended</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36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5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December 31,</w:t>
            </w:r>
          </w:p>
        </w:tc>
      </w:tr>
      <w:tr>
        <w:trPr>
          <w:trHeight w:val="198"/>
        </w:trPr>
        <w:tc>
          <w:tcPr>
            <w:tcW w:w="368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700" w:type="dxa"/>
            <w:vAlign w:val="bottom"/>
            <w:tcBorders>
              <w:top w:val="single" w:sz="8" w:color="auto"/>
            </w:tcBorders>
          </w:tcPr>
          <w:p>
            <w:pPr>
              <w:jc w:val="right"/>
              <w:ind w:right="870"/>
              <w:spacing w:after="0" w:line="198" w:lineRule="exact"/>
              <w:rPr>
                <w:sz w:val="20"/>
                <w:szCs w:val="20"/>
                <w:color w:val="auto"/>
              </w:rPr>
            </w:pPr>
            <w:r>
              <w:rPr>
                <w:rFonts w:ascii="Arial" w:cs="Arial" w:eastAsia="Arial" w:hAnsi="Arial"/>
                <w:sz w:val="18"/>
                <w:szCs w:val="18"/>
                <w:b w:val="1"/>
                <w:bCs w:val="1"/>
                <w:color w:val="auto"/>
              </w:rPr>
              <w:t>2021</w:t>
            </w:r>
          </w:p>
        </w:tc>
        <w:tc>
          <w:tcPr>
            <w:tcW w:w="800" w:type="dxa"/>
            <w:vAlign w:val="bottom"/>
            <w:tcBorders>
              <w:top w:val="single" w:sz="8" w:color="auto"/>
            </w:tcBorders>
          </w:tcPr>
          <w:p>
            <w:pPr>
              <w:jc w:val="right"/>
              <w:ind w:right="310"/>
              <w:spacing w:after="0" w:line="198" w:lineRule="exact"/>
              <w:rPr>
                <w:sz w:val="20"/>
                <w:szCs w:val="20"/>
                <w:color w:val="auto"/>
              </w:rPr>
            </w:pPr>
            <w:r>
              <w:rPr>
                <w:rFonts w:ascii="Arial" w:cs="Arial" w:eastAsia="Arial" w:hAnsi="Arial"/>
                <w:sz w:val="18"/>
                <w:szCs w:val="18"/>
                <w:b w:val="1"/>
                <w:bCs w:val="1"/>
                <w:color w:val="auto"/>
                <w:w w:val="94"/>
              </w:rPr>
              <w:t>2020</w:t>
            </w:r>
          </w:p>
        </w:tc>
        <w:tc>
          <w:tcPr>
            <w:tcW w:w="20" w:type="dxa"/>
            <w:vAlign w:val="bottom"/>
          </w:tcPr>
          <w:p>
            <w:pPr>
              <w:spacing w:after="0"/>
              <w:rPr>
                <w:sz w:val="17"/>
                <w:szCs w:val="17"/>
                <w:color w:val="auto"/>
              </w:rPr>
            </w:pPr>
          </w:p>
        </w:tc>
      </w:tr>
      <w:tr>
        <w:trPr>
          <w:trHeight w:val="241"/>
        </w:trPr>
        <w:tc>
          <w:tcPr>
            <w:tcW w:w="36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700" w:type="dxa"/>
            <w:vAlign w:val="bottom"/>
          </w:tcPr>
          <w:p>
            <w:pPr>
              <w:jc w:val="center"/>
              <w:ind w:right="470"/>
              <w:spacing w:after="0"/>
              <w:rPr>
                <w:sz w:val="20"/>
                <w:szCs w:val="20"/>
                <w:color w:val="auto"/>
              </w:rPr>
            </w:pPr>
            <w:r>
              <w:rPr>
                <w:rFonts w:ascii="Arial" w:cs="Arial" w:eastAsia="Arial" w:hAnsi="Arial"/>
                <w:sz w:val="18"/>
                <w:szCs w:val="18"/>
                <w:b w:val="1"/>
                <w:bCs w:val="1"/>
                <w:color w:val="auto"/>
                <w:w w:val="93"/>
              </w:rPr>
              <w:t>$’000</w:t>
            </w:r>
          </w:p>
        </w:tc>
        <w:tc>
          <w:tcPr>
            <w:tcW w:w="8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$’000</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506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3,008</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VAT receivable</w:t>
            </w:r>
          </w:p>
        </w:tc>
        <w:tc>
          <w:tcPr>
            <w:tcW w:w="6760" w:type="dxa"/>
            <w:vAlign w:val="bottom"/>
            <w:gridSpan w:val="2"/>
          </w:tcPr>
          <w:p>
            <w:pPr>
              <w:jc w:val="right"/>
              <w:ind w:right="470"/>
              <w:spacing w:after="0"/>
              <w:rPr>
                <w:sz w:val="20"/>
                <w:szCs w:val="20"/>
                <w:color w:val="auto"/>
              </w:rPr>
            </w:pPr>
            <w:r>
              <w:rPr>
                <w:rFonts w:ascii="Arial" w:cs="Arial" w:eastAsia="Arial" w:hAnsi="Arial"/>
                <w:sz w:val="18"/>
                <w:szCs w:val="18"/>
                <w:color w:val="auto"/>
              </w:rPr>
              <w:t>48</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r>
        <w:trPr>
          <w:trHeight w:val="223"/>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506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16"/>
        </w:trPr>
        <w:tc>
          <w:tcPr>
            <w:tcW w:w="36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7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3,066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20" w:type="dxa"/>
            <w:vAlign w:val="bottom"/>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2"/>
        </w:trPr>
        <w:tc>
          <w:tcPr>
            <w:tcW w:w="3680" w:type="dxa"/>
            <w:vAlign w:val="bottom"/>
          </w:tcPr>
          <w:p>
            <w:pPr>
              <w:spacing w:after="0"/>
              <w:rPr>
                <w:sz w:val="24"/>
                <w:szCs w:val="24"/>
                <w:color w:val="auto"/>
              </w:rPr>
            </w:pPr>
          </w:p>
        </w:tc>
        <w:tc>
          <w:tcPr>
            <w:tcW w:w="6760" w:type="dxa"/>
            <w:vAlign w:val="bottom"/>
            <w:gridSpan w:val="2"/>
          </w:tcPr>
          <w:p>
            <w:pPr>
              <w:jc w:val="right"/>
              <w:ind w:right="4590"/>
              <w:spacing w:after="0"/>
              <w:rPr>
                <w:sz w:val="20"/>
                <w:szCs w:val="20"/>
                <w:color w:val="auto"/>
              </w:rPr>
            </w:pPr>
            <w:r>
              <w:rPr>
                <w:rFonts w:ascii="Arial" w:cs="Arial" w:eastAsia="Arial" w:hAnsi="Arial"/>
                <w:sz w:val="14"/>
                <w:szCs w:val="14"/>
                <w:color w:val="auto"/>
              </w:rPr>
              <w:t>F-15</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
        </w:trPr>
        <w:tc>
          <w:tcPr>
            <w:tcW w:w="3680" w:type="dxa"/>
            <w:vAlign w:val="bottom"/>
            <w:tcBorders>
              <w:bottom w:val="single" w:sz="8" w:color="auto"/>
            </w:tcBorders>
          </w:tcPr>
          <w:p>
            <w:pPr>
              <w:spacing w:after="0"/>
              <w:rPr>
                <w:sz w:val="4"/>
                <w:szCs w:val="4"/>
                <w:color w:val="auto"/>
              </w:rPr>
            </w:pPr>
          </w:p>
        </w:tc>
        <w:tc>
          <w:tcPr>
            <w:tcW w:w="50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80" w:name="page181"/>
    <w:bookmarkEnd w:id="18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97790</wp:posOffset>
            </wp:positionV>
            <wp:extent cx="1217295" cy="2400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1217295" cy="24003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GH RESEARCH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10. Property, plant and equipment</w:t>
            </w:r>
          </w:p>
        </w:tc>
        <w:tc>
          <w:tcPr>
            <w:tcW w:w="1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Computer</w:t>
            </w: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Office</w:t>
            </w:r>
          </w:p>
        </w:tc>
        <w:tc>
          <w:tcPr>
            <w:tcW w:w="140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Medical</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Equipment</w:t>
            </w:r>
          </w:p>
        </w:tc>
        <w:tc>
          <w:tcPr>
            <w:tcW w:w="14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Equipment</w:t>
            </w:r>
          </w:p>
        </w:tc>
        <w:tc>
          <w:tcPr>
            <w:tcW w:w="1400" w:type="dxa"/>
            <w:vAlign w:val="bottom"/>
          </w:tcPr>
          <w:p>
            <w:pPr>
              <w:jc w:val="center"/>
              <w:ind w:right="250"/>
              <w:spacing w:after="0"/>
              <w:rPr>
                <w:sz w:val="20"/>
                <w:szCs w:val="20"/>
                <w:color w:val="auto"/>
              </w:rPr>
            </w:pPr>
            <w:r>
              <w:rPr>
                <w:rFonts w:ascii="Arial" w:cs="Arial" w:eastAsia="Arial" w:hAnsi="Arial"/>
                <w:sz w:val="18"/>
                <w:szCs w:val="18"/>
                <w:b w:val="1"/>
                <w:bCs w:val="1"/>
                <w:color w:val="auto"/>
                <w:w w:val="85"/>
              </w:rPr>
              <w:t>Devices</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41"/>
        </w:trPr>
        <w:tc>
          <w:tcPr>
            <w:tcW w:w="5980" w:type="dxa"/>
            <w:vAlign w:val="bottom"/>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$’000</w:t>
            </w:r>
          </w:p>
        </w:tc>
        <w:tc>
          <w:tcPr>
            <w:tcW w:w="14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$’000</w:t>
            </w:r>
          </w:p>
        </w:tc>
        <w:tc>
          <w:tcPr>
            <w:tcW w:w="14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3"/>
              </w:rPr>
              <w:t>$’000</w:t>
            </w:r>
          </w:p>
        </w:tc>
        <w:tc>
          <w:tcPr>
            <w:tcW w:w="11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$’000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Cost</w:t>
            </w:r>
          </w:p>
        </w:tc>
        <w:tc>
          <w:tcPr>
            <w:tcW w:w="1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At January 1, 2021</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w:t>
            </w:r>
          </w:p>
        </w:tc>
        <w:tc>
          <w:tcPr>
            <w:tcW w:w="1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Exchange difference</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w:t>
            </w: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2021</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55</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w:t>
            </w:r>
          </w:p>
        </w:tc>
        <w:tc>
          <w:tcPr>
            <w:tcW w:w="140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101</w:t>
            </w:r>
          </w:p>
        </w:tc>
      </w:tr>
      <w:tr>
        <w:trPr>
          <w:trHeight w:val="216"/>
        </w:trPr>
        <w:tc>
          <w:tcPr>
            <w:tcW w:w="5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Accumulated Depreciation</w:t>
            </w:r>
          </w:p>
        </w:tc>
        <w:tc>
          <w:tcPr>
            <w:tcW w:w="1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At January 1, 2021</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Exchange difference</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2021</w:t>
            </w:r>
          </w:p>
        </w:tc>
        <w:tc>
          <w:tcPr>
            <w:tcW w:w="1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w:t>
            </w:r>
          </w:p>
        </w:tc>
        <w:tc>
          <w:tcPr>
            <w:tcW w:w="14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w:t>
            </w:r>
          </w:p>
        </w:tc>
        <w:tc>
          <w:tcPr>
            <w:tcW w:w="140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9</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Book Amount</w:t>
            </w:r>
          </w:p>
        </w:tc>
        <w:tc>
          <w:tcPr>
            <w:tcW w:w="1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At December 31, 2021</w:t>
            </w: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46</w:t>
            </w: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7</w:t>
            </w:r>
          </w:p>
        </w:tc>
        <w:tc>
          <w:tcPr>
            <w:tcW w:w="1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w:t>
            </w: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2021, the investments in property, plant &amp; equipment relate to hardware due to the increased number of employees and the acquisition of medical devices relating to the Group’s technical development and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of $15 thousand (2020: $nil, 2019: $nil) has been charged in research and development expenses and $4 thousand (2020: $nil,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$nil) in general and administration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Trade payables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Trade payables primarily represents amounts incurred for the provision of manufacturing, research and consulting services and legal and professional fees, which have been billed and are outstanding at the end of the year. Trade payables are due to be settled at different times within 12 months.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rPr>
              <w:t>12. Other current liabilities</w:t>
            </w:r>
          </w:p>
        </w:tc>
        <w:tc>
          <w:tcPr>
            <w:tcW w:w="4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38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700" w:type="dxa"/>
            <w:vAlign w:val="bottom"/>
          </w:tcPr>
          <w:p>
            <w:pPr>
              <w:jc w:val="center"/>
              <w:ind w:left="710"/>
              <w:spacing w:after="0"/>
              <w:rPr>
                <w:sz w:val="20"/>
                <w:szCs w:val="20"/>
                <w:color w:val="auto"/>
              </w:rPr>
            </w:pPr>
            <w:r>
              <w:rPr>
                <w:rFonts w:ascii="Arial" w:cs="Arial" w:eastAsia="Arial" w:hAnsi="Arial"/>
                <w:sz w:val="18"/>
                <w:szCs w:val="18"/>
                <w:b w:val="1"/>
                <w:bCs w:val="1"/>
                <w:color w:val="auto"/>
                <w:w w:val="88"/>
              </w:rPr>
              <w:t>Year ended</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5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December 31,</w:t>
            </w:r>
          </w:p>
        </w:tc>
      </w:tr>
      <w:tr>
        <w:trPr>
          <w:trHeight w:val="198"/>
        </w:trPr>
        <w:tc>
          <w:tcPr>
            <w:tcW w:w="38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700" w:type="dxa"/>
            <w:vAlign w:val="bottom"/>
            <w:tcBorders>
              <w:top w:val="single" w:sz="8" w:color="auto"/>
            </w:tcBorders>
          </w:tcPr>
          <w:p>
            <w:pPr>
              <w:jc w:val="right"/>
              <w:ind w:right="870"/>
              <w:spacing w:after="0" w:line="198" w:lineRule="exact"/>
              <w:rPr>
                <w:sz w:val="20"/>
                <w:szCs w:val="20"/>
                <w:color w:val="auto"/>
              </w:rPr>
            </w:pPr>
            <w:r>
              <w:rPr>
                <w:rFonts w:ascii="Arial" w:cs="Arial" w:eastAsia="Arial" w:hAnsi="Arial"/>
                <w:sz w:val="18"/>
                <w:szCs w:val="18"/>
                <w:b w:val="1"/>
                <w:bCs w:val="1"/>
                <w:color w:val="auto"/>
              </w:rPr>
              <w:t>2021</w:t>
            </w:r>
          </w:p>
        </w:tc>
        <w:tc>
          <w:tcPr>
            <w:tcW w:w="800" w:type="dxa"/>
            <w:vAlign w:val="bottom"/>
            <w:tcBorders>
              <w:top w:val="single" w:sz="8" w:color="auto"/>
            </w:tcBorders>
          </w:tcPr>
          <w:p>
            <w:pPr>
              <w:jc w:val="right"/>
              <w:ind w:right="310"/>
              <w:spacing w:after="0" w:line="198" w:lineRule="exact"/>
              <w:rPr>
                <w:sz w:val="20"/>
                <w:szCs w:val="20"/>
                <w:color w:val="auto"/>
              </w:rPr>
            </w:pPr>
            <w:r>
              <w:rPr>
                <w:rFonts w:ascii="Arial" w:cs="Arial" w:eastAsia="Arial" w:hAnsi="Arial"/>
                <w:sz w:val="18"/>
                <w:szCs w:val="18"/>
                <w:b w:val="1"/>
                <w:bCs w:val="1"/>
                <w:color w:val="auto"/>
                <w:w w:val="94"/>
              </w:rPr>
              <w:t>2020</w:t>
            </w:r>
          </w:p>
        </w:tc>
        <w:tc>
          <w:tcPr>
            <w:tcW w:w="20" w:type="dxa"/>
            <w:vAlign w:val="bottom"/>
          </w:tcPr>
          <w:p>
            <w:pPr>
              <w:spacing w:after="0"/>
              <w:rPr>
                <w:sz w:val="17"/>
                <w:szCs w:val="17"/>
                <w:color w:val="auto"/>
              </w:rPr>
            </w:pPr>
          </w:p>
        </w:tc>
      </w:tr>
      <w:tr>
        <w:trPr>
          <w:trHeight w:val="241"/>
        </w:trPr>
        <w:tc>
          <w:tcPr>
            <w:tcW w:w="38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700" w:type="dxa"/>
            <w:vAlign w:val="bottom"/>
          </w:tcPr>
          <w:p>
            <w:pPr>
              <w:jc w:val="center"/>
              <w:ind w:right="470"/>
              <w:spacing w:after="0"/>
              <w:rPr>
                <w:sz w:val="20"/>
                <w:szCs w:val="20"/>
                <w:color w:val="auto"/>
              </w:rPr>
            </w:pPr>
            <w:r>
              <w:rPr>
                <w:rFonts w:ascii="Arial" w:cs="Arial" w:eastAsia="Arial" w:hAnsi="Arial"/>
                <w:sz w:val="18"/>
                <w:szCs w:val="18"/>
                <w:b w:val="1"/>
                <w:bCs w:val="1"/>
                <w:color w:val="auto"/>
                <w:w w:val="93"/>
              </w:rPr>
              <w:t>$’000</w:t>
            </w:r>
          </w:p>
        </w:tc>
        <w:tc>
          <w:tcPr>
            <w:tcW w:w="8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$’000</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Accruals</w:t>
            </w:r>
          </w:p>
        </w:tc>
        <w:tc>
          <w:tcPr>
            <w:tcW w:w="494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1,698</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Social security payable</w:t>
            </w:r>
          </w:p>
        </w:tc>
        <w:tc>
          <w:tcPr>
            <w:tcW w:w="6640" w:type="dxa"/>
            <w:vAlign w:val="bottom"/>
            <w:gridSpan w:val="2"/>
          </w:tcPr>
          <w:p>
            <w:pPr>
              <w:jc w:val="right"/>
              <w:ind w:right="470"/>
              <w:spacing w:after="0"/>
              <w:rPr>
                <w:sz w:val="20"/>
                <w:szCs w:val="20"/>
                <w:color w:val="auto"/>
              </w:rPr>
            </w:pPr>
            <w:r>
              <w:rPr>
                <w:rFonts w:ascii="Arial" w:cs="Arial" w:eastAsia="Arial" w:hAnsi="Arial"/>
                <w:sz w:val="18"/>
                <w:szCs w:val="18"/>
                <w:color w:val="auto"/>
              </w:rPr>
              <w:t>96</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23"/>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494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72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38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7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1,866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w:t>
            </w:r>
          </w:p>
        </w:tc>
        <w:tc>
          <w:tcPr>
            <w:tcW w:w="20" w:type="dxa"/>
            <w:vAlign w:val="bottom"/>
          </w:tcPr>
          <w:p>
            <w:pPr>
              <w:spacing w:after="0"/>
              <w:rPr>
                <w:sz w:val="18"/>
                <w:szCs w:val="18"/>
                <w:color w:val="auto"/>
              </w:rPr>
            </w:pPr>
          </w:p>
        </w:tc>
      </w:tr>
      <w:tr>
        <w:trPr>
          <w:trHeight w:val="21"/>
        </w:trPr>
        <w:tc>
          <w:tcPr>
            <w:tcW w:w="38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2"/>
        </w:trPr>
        <w:tc>
          <w:tcPr>
            <w:tcW w:w="3800" w:type="dxa"/>
            <w:vAlign w:val="bottom"/>
          </w:tcPr>
          <w:p>
            <w:pPr>
              <w:spacing w:after="0"/>
              <w:rPr>
                <w:sz w:val="24"/>
                <w:szCs w:val="24"/>
                <w:color w:val="auto"/>
              </w:rPr>
            </w:pPr>
          </w:p>
        </w:tc>
        <w:tc>
          <w:tcPr>
            <w:tcW w:w="6640" w:type="dxa"/>
            <w:vAlign w:val="bottom"/>
            <w:gridSpan w:val="2"/>
          </w:tcPr>
          <w:p>
            <w:pPr>
              <w:jc w:val="right"/>
              <w:ind w:right="4590"/>
              <w:spacing w:after="0"/>
              <w:rPr>
                <w:sz w:val="20"/>
                <w:szCs w:val="20"/>
                <w:color w:val="auto"/>
              </w:rPr>
            </w:pPr>
            <w:r>
              <w:rPr>
                <w:rFonts w:ascii="Arial" w:cs="Arial" w:eastAsia="Arial" w:hAnsi="Arial"/>
                <w:sz w:val="14"/>
                <w:szCs w:val="14"/>
                <w:color w:val="auto"/>
              </w:rPr>
              <w:t>F-16</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
        </w:trPr>
        <w:tc>
          <w:tcPr>
            <w:tcW w:w="3800" w:type="dxa"/>
            <w:vAlign w:val="bottom"/>
            <w:tcBorders>
              <w:bottom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81" w:name="page182"/>
    <w:bookmarkEnd w:id="18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97790</wp:posOffset>
            </wp:positionV>
            <wp:extent cx="1217295" cy="2400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1217295" cy="24003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GH RESEARCH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 capital and reserves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Arial" w:cs="Arial" w:eastAsia="Arial" w:hAnsi="Arial"/>
                <w:sz w:val="18"/>
                <w:szCs w:val="18"/>
                <w:b w:val="1"/>
                <w:bCs w:val="1"/>
                <w:color w:val="auto"/>
              </w:rPr>
              <w:t>Share capital</w:t>
            </w:r>
          </w:p>
        </w:tc>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7380" w:type="dxa"/>
            <w:vAlign w:val="bottom"/>
          </w:tcPr>
          <w:p>
            <w:pPr>
              <w:spacing w:after="0"/>
              <w:rPr>
                <w:sz w:val="20"/>
                <w:szCs w:val="20"/>
                <w:color w:val="auto"/>
              </w:rPr>
            </w:pPr>
            <w:r>
              <w:rPr>
                <w:rFonts w:ascii="Arial" w:cs="Arial" w:eastAsia="Arial" w:hAnsi="Arial"/>
                <w:sz w:val="18"/>
                <w:szCs w:val="18"/>
                <w:i w:val="1"/>
                <w:iCs w:val="1"/>
                <w:color w:val="auto"/>
              </w:rPr>
              <w:t>Issued and fully paid shares:</w:t>
            </w: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Number of</w:t>
            </w:r>
          </w:p>
        </w:tc>
        <w:tc>
          <w:tcPr>
            <w:tcW w:w="1400" w:type="dxa"/>
            <w:vAlign w:val="bottom"/>
          </w:tcPr>
          <w:p>
            <w:pPr>
              <w:spacing w:after="0"/>
              <w:rPr>
                <w:sz w:val="24"/>
                <w:szCs w:val="24"/>
                <w:color w:val="auto"/>
              </w:rPr>
            </w:pPr>
          </w:p>
        </w:tc>
        <w:tc>
          <w:tcPr>
            <w:tcW w:w="11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Additional</w:t>
            </w:r>
          </w:p>
        </w:tc>
      </w:tr>
      <w:tr>
        <w:trPr>
          <w:trHeight w:val="216"/>
        </w:trPr>
        <w:tc>
          <w:tcPr>
            <w:tcW w:w="73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outstanding</w:t>
            </w:r>
          </w:p>
        </w:tc>
        <w:tc>
          <w:tcPr>
            <w:tcW w:w="1400" w:type="dxa"/>
            <w:vAlign w:val="bottom"/>
          </w:tcPr>
          <w:p>
            <w:pPr>
              <w:spacing w:after="0"/>
              <w:rPr>
                <w:sz w:val="18"/>
                <w:szCs w:val="18"/>
                <w:color w:val="auto"/>
              </w:rPr>
            </w:pPr>
          </w:p>
        </w:tc>
        <w:tc>
          <w:tcPr>
            <w:tcW w:w="1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paid-in</w:t>
            </w:r>
          </w:p>
        </w:tc>
      </w:tr>
      <w:tr>
        <w:trPr>
          <w:trHeight w:val="216"/>
        </w:trPr>
        <w:tc>
          <w:tcPr>
            <w:tcW w:w="73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2"/>
              </w:rPr>
              <w:t>shares</w:t>
            </w: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Share capital</w:t>
            </w:r>
          </w:p>
        </w:tc>
        <w:tc>
          <w:tcPr>
            <w:tcW w:w="1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capital</w:t>
            </w:r>
          </w:p>
        </w:tc>
      </w:tr>
      <w:tr>
        <w:trPr>
          <w:trHeight w:val="241"/>
        </w:trPr>
        <w:tc>
          <w:tcPr>
            <w:tcW w:w="7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$’000</w:t>
            </w:r>
          </w:p>
        </w:tc>
        <w:tc>
          <w:tcPr>
            <w:tcW w:w="1180" w:type="dxa"/>
            <w:vAlign w:val="bottom"/>
            <w:gridSpan w:val="2"/>
          </w:tcPr>
          <w:p>
            <w:pPr>
              <w:ind w:left="420"/>
              <w:spacing w:after="0"/>
              <w:rPr>
                <w:sz w:val="20"/>
                <w:szCs w:val="20"/>
                <w:color w:val="auto"/>
              </w:rPr>
            </w:pPr>
            <w:r>
              <w:rPr>
                <w:rFonts w:ascii="Arial" w:cs="Arial" w:eastAsia="Arial" w:hAnsi="Arial"/>
                <w:sz w:val="18"/>
                <w:szCs w:val="18"/>
                <w:b w:val="1"/>
                <w:bCs w:val="1"/>
                <w:color w:val="auto"/>
              </w:rPr>
              <w:t>$’000</w:t>
            </w:r>
          </w:p>
        </w:tc>
      </w:tr>
      <w:tr>
        <w:trPr>
          <w:trHeight w:val="223"/>
        </w:trPr>
        <w:tc>
          <w:tcPr>
            <w:tcW w:w="738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At January 1, 2019</w:t>
            </w:r>
            <w:r>
              <w:rPr>
                <w:rFonts w:ascii="Arial" w:cs="Arial" w:eastAsia="Arial" w:hAnsi="Arial"/>
                <w:sz w:val="25"/>
                <w:szCs w:val="25"/>
                <w:b w:val="1"/>
                <w:bCs w:val="1"/>
                <w:color w:val="auto"/>
                <w:vertAlign w:val="superscript"/>
              </w:rPr>
              <w:t>(1)</w:t>
            </w:r>
          </w:p>
        </w:tc>
        <w:tc>
          <w:tcPr>
            <w:tcW w:w="13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70,000,000</w:t>
            </w:r>
          </w:p>
        </w:tc>
        <w:tc>
          <w:tcPr>
            <w:tcW w:w="14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801</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7380" w:type="dxa"/>
            <w:vAlign w:val="bottom"/>
          </w:tcPr>
          <w:p>
            <w:pPr>
              <w:spacing w:after="0" w:line="216" w:lineRule="exact"/>
              <w:rPr>
                <w:sz w:val="20"/>
                <w:szCs w:val="20"/>
                <w:color w:val="auto"/>
              </w:rPr>
            </w:pPr>
            <w:r>
              <w:rPr>
                <w:rFonts w:ascii="Arial" w:cs="Arial" w:eastAsia="Arial" w:hAnsi="Arial"/>
                <w:sz w:val="16"/>
                <w:szCs w:val="16"/>
                <w:b w:val="1"/>
                <w:bCs w:val="1"/>
                <w:color w:val="auto"/>
              </w:rPr>
              <w:t xml:space="preserve">At December 31, 2019 </w:t>
            </w:r>
            <w:r>
              <w:rPr>
                <w:rFonts w:ascii="Arial" w:cs="Arial" w:eastAsia="Arial" w:hAnsi="Arial"/>
                <w:sz w:val="25"/>
                <w:szCs w:val="25"/>
                <w:b w:val="1"/>
                <w:bCs w:val="1"/>
                <w:color w:val="auto"/>
                <w:vertAlign w:val="superscript"/>
              </w:rPr>
              <w:t>(2)</w:t>
            </w: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rPr>
              <w:t>70,000,000</w:t>
            </w: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801</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of share capital - Series A preferred shares (i)</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5,923,079</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20" w:type="dxa"/>
            <w:vAlign w:val="bottom"/>
          </w:tcPr>
          <w:p>
            <w:pPr>
              <w:spacing w:after="0"/>
              <w:rPr>
                <w:sz w:val="19"/>
                <w:szCs w:val="19"/>
                <w:color w:val="auto"/>
              </w:rPr>
            </w:pPr>
          </w:p>
        </w:tc>
      </w:tr>
      <w:tr>
        <w:trPr>
          <w:trHeight w:val="216"/>
        </w:trPr>
        <w:tc>
          <w:tcPr>
            <w:tcW w:w="7380" w:type="dxa"/>
            <w:vAlign w:val="bottom"/>
          </w:tcPr>
          <w:p>
            <w:pPr>
              <w:spacing w:after="0" w:line="216" w:lineRule="exact"/>
              <w:rPr>
                <w:sz w:val="20"/>
                <w:szCs w:val="20"/>
                <w:color w:val="auto"/>
              </w:rPr>
            </w:pPr>
            <w:r>
              <w:rPr>
                <w:rFonts w:ascii="Arial" w:cs="Arial" w:eastAsia="Arial" w:hAnsi="Arial"/>
                <w:sz w:val="16"/>
                <w:szCs w:val="16"/>
                <w:b w:val="1"/>
                <w:bCs w:val="1"/>
                <w:color w:val="auto"/>
              </w:rPr>
              <w:t xml:space="preserve">At December 31, 2020 </w:t>
            </w:r>
            <w:r>
              <w:rPr>
                <w:rFonts w:ascii="Arial" w:cs="Arial" w:eastAsia="Arial" w:hAnsi="Arial"/>
                <w:sz w:val="25"/>
                <w:szCs w:val="25"/>
                <w:b w:val="1"/>
                <w:bCs w:val="1"/>
                <w:color w:val="auto"/>
                <w:vertAlign w:val="superscript"/>
              </w:rPr>
              <w:t>(2)</w:t>
            </w: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rPr>
              <w:t>75,923,079</w:t>
            </w: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871</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5,430</w:t>
            </w:r>
          </w:p>
        </w:tc>
        <w:tc>
          <w:tcPr>
            <w:tcW w:w="2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 capital - A Ordinary Shares (ii)</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25,000</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Issuance of share capital - Series B preferred shares (iii)</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25,379,047</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302</w:t>
            </w:r>
          </w:p>
        </w:tc>
        <w:tc>
          <w:tcPr>
            <w:tcW w:w="1160" w:type="dxa"/>
            <w:vAlign w:val="bottom"/>
          </w:tcPr>
          <w:p>
            <w:pPr>
              <w:jc w:val="right"/>
              <w:spacing w:after="0"/>
              <w:rPr>
                <w:sz w:val="20"/>
                <w:szCs w:val="20"/>
                <w:color w:val="auto"/>
              </w:rPr>
            </w:pPr>
            <w:r>
              <w:rPr>
                <w:rFonts w:ascii="Arial" w:cs="Arial" w:eastAsia="Arial" w:hAnsi="Arial"/>
                <w:sz w:val="18"/>
                <w:szCs w:val="18"/>
                <w:color w:val="auto"/>
              </w:rPr>
              <w:t>118,518</w:t>
            </w:r>
          </w:p>
        </w:tc>
        <w:tc>
          <w:tcPr>
            <w:tcW w:w="2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Share exchange (iv)</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Redemption of A Ordinary Shares (v)</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(25,000)</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Share consolidation (vi)</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(60,781,276)</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Issue of share capital (vii)</w:t>
            </w: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11,499,999</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167,340</w:t>
            </w:r>
          </w:p>
        </w:tc>
        <w:tc>
          <w:tcPr>
            <w:tcW w:w="20" w:type="dxa"/>
            <w:vAlign w:val="bottom"/>
            <w:tcBorders>
              <w:bottom w:val="single" w:sz="8" w:color="auto"/>
            </w:tcBorders>
          </w:tcPr>
          <w:p>
            <w:pPr>
              <w:spacing w:after="0"/>
              <w:rPr>
                <w:sz w:val="19"/>
                <w:szCs w:val="19"/>
                <w:color w:val="auto"/>
              </w:rPr>
            </w:pPr>
          </w:p>
        </w:tc>
      </w:tr>
      <w:tr>
        <w:trPr>
          <w:trHeight w:val="256"/>
        </w:trPr>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December 31, 2021</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52,020,849</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1,301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291,448</w:t>
            </w:r>
          </w:p>
        </w:tc>
        <w:tc>
          <w:tcPr>
            <w:tcW w:w="20" w:type="dxa"/>
            <w:vAlign w:val="bottom"/>
          </w:tcPr>
          <w:p>
            <w:pPr>
              <w:spacing w:after="0"/>
              <w:rPr>
                <w:sz w:val="22"/>
                <w:szCs w:val="22"/>
                <w:color w:val="auto"/>
              </w:rPr>
            </w:pPr>
          </w:p>
        </w:tc>
      </w:tr>
    </w:tbl>
    <w:p>
      <w:pPr>
        <w:spacing w:after="0" w:line="202" w:lineRule="exact"/>
        <w:rPr>
          <w:sz w:val="20"/>
          <w:szCs w:val="20"/>
          <w:color w:val="auto"/>
        </w:rPr>
      </w:pPr>
    </w:p>
    <w:p>
      <w:pPr>
        <w:ind w:left="340" w:right="20" w:hanging="332"/>
        <w:spacing w:after="0" w:line="194" w:lineRule="auto"/>
        <w:tabs>
          <w:tab w:leader="none" w:pos="340" w:val="left"/>
        </w:tabs>
        <w:numPr>
          <w:ilvl w:val="0"/>
          <w:numId w:val="119"/>
        </w:numPr>
        <w:rPr>
          <w:rFonts w:ascii="Arial" w:cs="Arial" w:eastAsia="Arial" w:hAnsi="Arial"/>
          <w:sz w:val="30"/>
          <w:szCs w:val="30"/>
          <w:color w:val="auto"/>
          <w:vertAlign w:val="superscript"/>
        </w:rPr>
      </w:pPr>
      <w:r>
        <w:rPr>
          <w:rFonts w:ascii="Arial" w:cs="Arial" w:eastAsia="Arial" w:hAnsi="Arial"/>
          <w:sz w:val="18"/>
          <w:szCs w:val="18"/>
          <w:color w:val="auto"/>
        </w:rPr>
        <w:t>In 2018, the GH Research Ireland Limited issued 70,000,000 ordinary shares with a nominal value of €0.01 for which a receivable was recognized and the related cash flow occurred in 2019.</w:t>
      </w:r>
    </w:p>
    <w:p>
      <w:pPr>
        <w:ind w:left="340" w:hanging="332"/>
        <w:spacing w:after="0" w:line="209" w:lineRule="auto"/>
        <w:tabs>
          <w:tab w:leader="none" w:pos="340" w:val="left"/>
        </w:tabs>
        <w:numPr>
          <w:ilvl w:val="0"/>
          <w:numId w:val="119"/>
        </w:numPr>
        <w:rPr>
          <w:rFonts w:ascii="Arial" w:cs="Arial" w:eastAsia="Arial" w:hAnsi="Arial"/>
          <w:sz w:val="27"/>
          <w:szCs w:val="27"/>
          <w:color w:val="auto"/>
          <w:vertAlign w:val="superscript"/>
        </w:rPr>
      </w:pPr>
      <w:r>
        <w:rPr>
          <w:rFonts w:ascii="Arial" w:cs="Arial" w:eastAsia="Arial" w:hAnsi="Arial"/>
          <w:sz w:val="16"/>
          <w:szCs w:val="16"/>
          <w:color w:val="auto"/>
        </w:rPr>
        <w:t>Share information presented as of December 31, 2019 and 2020, and for the financial year then ended, is prior to the incorporation of GH Research PLC and relates solely to GH Ireland Research Limited and does not give effect to the 2.50-for-one share consolidation described below.</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The authorized share capital of GH Research PLC is 40,000,000,000 ordinary shares of nominal value $0.025 each as of December 31, 2021.</w:t>
      </w:r>
    </w:p>
    <w:p>
      <w:pPr>
        <w:spacing w:after="0" w:line="237"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Share issuance – Series A preferred shares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2, 2020, GH Research Ireland Limited increased its share capital through the issuance of 5,384,617 Series A preferred shares with a nominal value of €0.01 (which were redesignated into 2,153,847 ordinary shares of GH Research PLC prior to the closing of the initial public offering). The proceeds of this issuance were $5 million. On December 22, 2020, a further increase of share capital was completed through the issuance of 538,462 Series A preferred shares (which were redesignated into 215,385 ordinary shares of GH Research PLC prior to the closing of the initial public offering) resulting in proceeds of $500 thousand.</w:t>
      </w:r>
    </w:p>
    <w:p>
      <w:pPr>
        <w:spacing w:after="0" w:line="188"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Incorporation of GH Research PLC</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29, 2021, GH Research PLC was incorporated with an authorized share capital of €25,000, divided into 25,000 A ordinary shares of nominal value €1.00 each. The sole subscriber to the incorporation constitution of GH Research PLC was Florian Schönharting who subscribed for 25,000 A ordinary shares of €1.00 each. The issuance and subsequent redemption is shown net within the issue of share capital.</w:t>
      </w:r>
    </w:p>
    <w:p>
      <w:pPr>
        <w:spacing w:after="0" w:line="165"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Share issuance – Series B preferred shares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8, 2021, GH Research Ireland Limited issued 25,379,047 Series B preferred shares (which were redesignated into 10,151,618 ordinary shares of GH Research PLC prior to the closing of the initial public offering). The net proceeds of this issuance were $118.8 million, after deducting directly attributable transaction costs of $6.4 million.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2" w:name="page183"/>
    <w:bookmarkEnd w:id="18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97790</wp:posOffset>
            </wp:positionV>
            <wp:extent cx="1217295" cy="2400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1217295" cy="24003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GH RESEARCH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70"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Share exchange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27, 2021, as part of the corporate reorganization, all shareholders of GH Research Ireland Limited exchanged each of the shares held by them in GH Research Ireland Limited, which had a nominal value of €0.01, for shares of GH Research PLC of the same share classes with the same shareholders rights as the shares held by them in GH Research Ireland Limited, and as a result, GH Research Ireland Limited became a wholly-owned subsidiary of GH Research PLC.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GH Research PLC issued the following shares:</w:t>
      </w:r>
    </w:p>
    <w:p>
      <w:pPr>
        <w:spacing w:after="0" w:line="211" w:lineRule="exact"/>
        <w:rPr>
          <w:sz w:val="20"/>
          <w:szCs w:val="20"/>
          <w:color w:val="auto"/>
        </w:rPr>
      </w:pPr>
    </w:p>
    <w:p>
      <w:pPr>
        <w:ind w:left="340" w:hanging="332"/>
        <w:spacing w:after="0"/>
        <w:tabs>
          <w:tab w:leader="none" w:pos="34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70,000,000 ordinary shares, nominal value $0.01 each;</w:t>
      </w:r>
    </w:p>
    <w:p>
      <w:pPr>
        <w:spacing w:after="0" w:line="23" w:lineRule="exact"/>
        <w:rPr>
          <w:rFonts w:ascii="Arial" w:cs="Arial" w:eastAsia="Arial" w:hAnsi="Arial"/>
          <w:sz w:val="18"/>
          <w:szCs w:val="18"/>
          <w:b w:val="1"/>
          <w:bCs w:val="1"/>
          <w:color w:val="auto"/>
        </w:rPr>
      </w:pPr>
    </w:p>
    <w:p>
      <w:pPr>
        <w:ind w:left="340" w:hanging="332"/>
        <w:spacing w:after="0"/>
        <w:tabs>
          <w:tab w:leader="none" w:pos="34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5,923,079 Series A preferred shares, nominal value $0.01 each; and</w:t>
      </w:r>
    </w:p>
    <w:p>
      <w:pPr>
        <w:spacing w:after="0" w:line="9" w:lineRule="exact"/>
        <w:rPr>
          <w:rFonts w:ascii="Arial" w:cs="Arial" w:eastAsia="Arial" w:hAnsi="Arial"/>
          <w:sz w:val="18"/>
          <w:szCs w:val="18"/>
          <w:b w:val="1"/>
          <w:bCs w:val="1"/>
          <w:color w:val="auto"/>
        </w:rPr>
      </w:pPr>
    </w:p>
    <w:p>
      <w:pPr>
        <w:ind w:left="340" w:hanging="332"/>
        <w:spacing w:after="0"/>
        <w:tabs>
          <w:tab w:leader="none" w:pos="34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25,379,047 Series B preferred shares, nominal value $0.01 each.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resulted in a reduction in share capital and a corresponding increase in additional paid-in capital of $160 thousand.</w:t>
      </w:r>
    </w:p>
    <w:p>
      <w:pPr>
        <w:spacing w:after="0" w:line="225"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Redemption of A Ordinary Shares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June 24, 2021, GH Research PLC redeemed 25,000 A ordinary shares of €1.00 each at par and, following the redemption, cancelled the 25,000 A ordinary shares of €1.00 each. The redemption amount of €25,000 is included in “Other current liabilities” at December 31, 2021. The issuance and redemption is shown net within the issue of share capital.</w:t>
      </w:r>
    </w:p>
    <w:p>
      <w:pPr>
        <w:spacing w:after="0" w:line="184"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Conversion and share consolidation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24, 2021, GH Research PLC (a) converted (i) 5,923,079 Series A preferred shares of nominal value $0.01 each into 5,923,079 ordinary shares of nominal value $0.01 each and (ii) 25,379,047 Series B preferred shares of nominal value $0.01 each into 25,379,047 ordinary shares of nominal value $0.01 each and (b) completed the 2.50-for-one share consolidation of the existing ordinary shares into an aggregate of 40,520,850 ordinary shares of nominal value $0.025 each.</w:t>
      </w:r>
    </w:p>
    <w:p>
      <w:pPr>
        <w:spacing w:after="0" w:line="187"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Share issuance – IPO</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June 29, 2021, GH Research PLC closed its IPO of 11,499,999 ordinary shares on the Nasdaq Global Market at $16.00 per share. The net proceeds of the IPO were $167.6 million, after deducting underwriting discounts and directly attributable transaction costs of $16.4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dividends were declared or paid during the year (2020: $nil; 2019: $nil).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reserve of $366 thousand as of December 31, 2021 (2020: $nil) comprises amounts expensed in the Consolidated statement of comprehensive income in connection with awards made under the Share Option Plan (see note 15, “Share-based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Foreign currency translation reserve of $5.9 million as of December 31, 2021 (2020: $200 thousand) consists of the cumulative currency translation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adjustment in respect of GH Research Ireland Limited whose functional currency is euro. The translation adjustments arise from the retranslation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profits of such operations from the average exchange rate for the year to the exchange rate at the statement of financial position date as well as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retranslation of the subsidiary’s applicable assets and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Group has no contingencies at the balance sheet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 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Options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June 2021, the Company adopted a share option plan referred to herein as the Share Option Plan under which grants of options are made to eligible participants. The Company has reserved 1,202,734 ordinary shares for future issuance under the Share Option Plan, which include ordinary shares pursuant to share-based equity awards issued to date. As of December 31, 2021, the Company has 1,045,547 ordinary shares available for the future issuance of share-based equity awards.</w:t>
      </w:r>
    </w:p>
    <w:p>
      <w:pPr>
        <w:sectPr>
          <w:pgSz w:w="11900" w:h="16838" w:orient="portrait"/>
          <w:cols w:equalWidth="0" w:num="1">
            <w:col w:w="11240"/>
          </w:cols>
          <w:pgMar w:left="320" w:top="122" w:right="3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3" w:name="page184"/>
    <w:bookmarkEnd w:id="18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97790</wp:posOffset>
            </wp:positionV>
            <wp:extent cx="1217295" cy="2400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1217295" cy="24003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GH RESEARCH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Share Option Plan, any director (including our directors and directors of any other member of our group who are not active employees of the Company or any other company that is a member of our group) or employee of a member of the group or key consultant is eligible to be nominated by our remuneration committee to receive options.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exercise price per share option is generally set by the Company at the closing market price on the day prior to grant. The awards generally vest 25% on the first anniversary of the date of grant, and thereafter evenly on a monthly basis over the subsequent three years in addition to a 2 year service condition. The contractual term (expiration) of each share option award granted is eight years from the date of grant.</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grant, the options may be settled only in ordinary shares of the Company. Therefore, the grants of share options under the Share Option Plan have been accounted for as equity-settled under IFRS 2. As such, the Company records a charge for the vested portion of award grants and for partially earned but non-vested portions of award grants. This results in a front-loaded charge to the Company’s consolidated statement of comprehensive income and a corresponding increase to Other Reserves within equity on the consolidated statement of financial position.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2021, the Company granted the option to purchase 149,891 ordinary shares, respectively, to employees which were in line with the general terms of the Share Option Plan as described above.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24, 2021, the Company granted the option to purchase 7,296 ordinary shares to members of the board of directors which vested on the date of grant subject to a 2 year service condition, with an exercise price of $2.05.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color w:val="auto"/>
                <w:w w:val="96"/>
              </w:rPr>
              <w:t>The following table summarizes the share option awards outstanding as of December 31, 2021:</w:t>
            </w:r>
          </w:p>
        </w:tc>
        <w:tc>
          <w:tcPr>
            <w:tcW w:w="1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7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7360" w:type="dxa"/>
            <w:vAlign w:val="bottom"/>
          </w:tcPr>
          <w:p>
            <w:pPr>
              <w:spacing w:after="0"/>
              <w:rPr>
                <w:sz w:val="18"/>
                <w:szCs w:val="18"/>
                <w:color w:val="auto"/>
              </w:rPr>
            </w:pPr>
          </w:p>
        </w:tc>
        <w:tc>
          <w:tcPr>
            <w:tcW w:w="148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Average exercise</w:t>
            </w:r>
          </w:p>
        </w:tc>
        <w:tc>
          <w:tcPr>
            <w:tcW w:w="1120" w:type="dxa"/>
            <w:vAlign w:val="bottom"/>
          </w:tcPr>
          <w:p>
            <w:pPr>
              <w:spacing w:after="0"/>
              <w:rPr>
                <w:sz w:val="18"/>
                <w:szCs w:val="18"/>
                <w:color w:val="auto"/>
              </w:rPr>
            </w:pPr>
          </w:p>
        </w:tc>
        <w:tc>
          <w:tcPr>
            <w:tcW w:w="13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7360" w:type="dxa"/>
            <w:vAlign w:val="bottom"/>
          </w:tcPr>
          <w:p>
            <w:pPr>
              <w:spacing w:after="0"/>
              <w:rPr>
                <w:sz w:val="18"/>
                <w:szCs w:val="18"/>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price per share</w:t>
            </w:r>
          </w:p>
        </w:tc>
        <w:tc>
          <w:tcPr>
            <w:tcW w:w="1120" w:type="dxa"/>
            <w:vAlign w:val="bottom"/>
          </w:tcPr>
          <w:p>
            <w:pPr>
              <w:spacing w:after="0"/>
              <w:rPr>
                <w:sz w:val="18"/>
                <w:szCs w:val="18"/>
                <w:color w:val="auto"/>
              </w:rPr>
            </w:pPr>
          </w:p>
        </w:tc>
        <w:tc>
          <w:tcPr>
            <w:tcW w:w="130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7360" w:type="dxa"/>
            <w:vAlign w:val="bottom"/>
          </w:tcPr>
          <w:p>
            <w:pPr>
              <w:spacing w:after="0"/>
              <w:rPr>
                <w:sz w:val="18"/>
                <w:szCs w:val="18"/>
                <w:color w:val="auto"/>
              </w:rPr>
            </w:pPr>
          </w:p>
        </w:tc>
        <w:tc>
          <w:tcPr>
            <w:tcW w:w="14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in</w:t>
            </w: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13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2"/>
              </w:rPr>
              <w:t>life</w:t>
            </w:r>
          </w:p>
        </w:tc>
      </w:tr>
      <w:tr>
        <w:trPr>
          <w:trHeight w:val="241"/>
        </w:trPr>
        <w:tc>
          <w:tcPr>
            <w:tcW w:w="7360" w:type="dxa"/>
            <w:vAlign w:val="bottom"/>
          </w:tcPr>
          <w:p>
            <w:pPr>
              <w:spacing w:after="0"/>
              <w:rPr>
                <w:sz w:val="20"/>
                <w:szCs w:val="20"/>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USD</w:t>
            </w: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awards</w:t>
            </w:r>
          </w:p>
        </w:tc>
        <w:tc>
          <w:tcPr>
            <w:tcW w:w="13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8"/>
              </w:rPr>
              <w:t>in years</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2020</w:t>
            </w:r>
          </w:p>
        </w:tc>
        <w:tc>
          <w:tcPr>
            <w:tcW w:w="14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15.80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157,187</w:t>
            </w:r>
          </w:p>
        </w:tc>
        <w:tc>
          <w:tcPr>
            <w:tcW w:w="1280" w:type="dxa"/>
            <w:vAlign w:val="bottom"/>
          </w:tcPr>
          <w:p>
            <w:pPr>
              <w:jc w:val="right"/>
              <w:spacing w:after="0"/>
              <w:rPr>
                <w:sz w:val="20"/>
                <w:szCs w:val="20"/>
                <w:color w:val="auto"/>
              </w:rPr>
            </w:pPr>
            <w:r>
              <w:rPr>
                <w:rFonts w:ascii="Arial" w:cs="Arial" w:eastAsia="Arial" w:hAnsi="Arial"/>
                <w:sz w:val="18"/>
                <w:szCs w:val="18"/>
                <w:color w:val="auto"/>
              </w:rPr>
              <w:t>7.62</w:t>
            </w:r>
          </w:p>
        </w:tc>
        <w:tc>
          <w:tcPr>
            <w:tcW w:w="20" w:type="dxa"/>
            <w:vAlign w:val="bottom"/>
          </w:tcPr>
          <w:p>
            <w:pPr>
              <w:spacing w:after="0"/>
              <w:rPr>
                <w:sz w:val="19"/>
                <w:szCs w:val="19"/>
                <w:color w:val="auto"/>
              </w:rPr>
            </w:pPr>
          </w:p>
        </w:tc>
      </w:tr>
      <w:tr>
        <w:trPr>
          <w:trHeight w:val="223"/>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December 31, 2021</w:t>
            </w:r>
          </w:p>
        </w:tc>
        <w:tc>
          <w:tcPr>
            <w:tcW w:w="1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15.80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157,187</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7.62</w:t>
            </w:r>
          </w:p>
        </w:tc>
        <w:tc>
          <w:tcPr>
            <w:tcW w:w="20" w:type="dxa"/>
            <w:vAlign w:val="bottom"/>
          </w:tcPr>
          <w:p>
            <w:pPr>
              <w:spacing w:after="0"/>
              <w:rPr>
                <w:sz w:val="19"/>
                <w:szCs w:val="19"/>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None of the awards outstanding as of December 31, 2021 were exercisable and they expire through 2029. As of December 31, 2021, 7,296 awards are vested and generally subject to a 2 year service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 date fair value of awards granted during the year ended December 31, 2021 was $14.44 per award.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the options granted were determined on the date of the grant using the Black-Scholes option-pricing model. The Company used an independent valuation firm to assist in calculating the fair value of the award grants per participant.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4" w:name="page185"/>
    <w:bookmarkEnd w:id="18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97790</wp:posOffset>
            </wp:positionV>
            <wp:extent cx="1217295" cy="2400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1217295" cy="24003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GH RESEARCH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the options granted during the year ended December 31, 2021 were determined on the date of the grant using the following assumptions: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Year ended</w:t>
            </w:r>
          </w:p>
        </w:tc>
      </w:tr>
      <w:tr>
        <w:trPr>
          <w:trHeight w:val="241"/>
        </w:trPr>
        <w:tc>
          <w:tcPr>
            <w:tcW w:w="6820" w:type="dxa"/>
            <w:vAlign w:val="bottom"/>
          </w:tcPr>
          <w:p>
            <w:pPr>
              <w:spacing w:after="0"/>
              <w:rPr>
                <w:sz w:val="20"/>
                <w:szCs w:val="20"/>
                <w:color w:val="auto"/>
              </w:rPr>
            </w:pPr>
          </w:p>
        </w:tc>
        <w:tc>
          <w:tcPr>
            <w:tcW w:w="4420" w:type="dxa"/>
            <w:vAlign w:val="bottom"/>
            <w:gridSpan w:val="3"/>
          </w:tcPr>
          <w:p>
            <w:pPr>
              <w:jc w:val="center"/>
              <w:ind w:left="2890"/>
              <w:spacing w:after="0"/>
              <w:rPr>
                <w:sz w:val="20"/>
                <w:szCs w:val="20"/>
                <w:color w:val="auto"/>
              </w:rPr>
            </w:pPr>
            <w:r>
              <w:rPr>
                <w:rFonts w:ascii="Arial" w:cs="Arial" w:eastAsia="Arial" w:hAnsi="Arial"/>
                <w:sz w:val="18"/>
                <w:szCs w:val="18"/>
                <w:b w:val="1"/>
                <w:bCs w:val="1"/>
                <w:color w:val="auto"/>
                <w:w w:val="88"/>
              </w:rPr>
              <w:t>December 31, 2021</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 price, in USD</w:t>
            </w:r>
          </w:p>
        </w:tc>
        <w:tc>
          <w:tcPr>
            <w:tcW w:w="29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- 23.74</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Strike price, in USD – employees (weighted average)</w:t>
            </w:r>
          </w:p>
        </w:tc>
        <w:tc>
          <w:tcPr>
            <w:tcW w:w="4420" w:type="dxa"/>
            <w:vAlign w:val="bottom"/>
            <w:gridSpan w:val="3"/>
          </w:tcPr>
          <w:p>
            <w:pPr>
              <w:jc w:val="center"/>
              <w:ind w:left="3030"/>
              <w:spacing w:after="0"/>
              <w:rPr>
                <w:sz w:val="20"/>
                <w:szCs w:val="20"/>
                <w:color w:val="auto"/>
              </w:rPr>
            </w:pPr>
            <w:r>
              <w:rPr>
                <w:rFonts w:ascii="Arial" w:cs="Arial" w:eastAsia="Arial" w:hAnsi="Arial"/>
                <w:sz w:val="18"/>
                <w:szCs w:val="18"/>
                <w:color w:val="auto"/>
                <w:w w:val="93"/>
              </w:rPr>
              <w:t>18.45</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Strike price, in USD – non-executive directors</w:t>
            </w:r>
          </w:p>
        </w:tc>
        <w:tc>
          <w:tcPr>
            <w:tcW w:w="4420" w:type="dxa"/>
            <w:vAlign w:val="bottom"/>
            <w:gridSpan w:val="3"/>
            <w:shd w:val="clear" w:color="auto" w:fill="CCEEFF"/>
          </w:tcPr>
          <w:p>
            <w:pPr>
              <w:jc w:val="center"/>
              <w:ind w:left="3030"/>
              <w:spacing w:after="0"/>
              <w:rPr>
                <w:sz w:val="20"/>
                <w:szCs w:val="20"/>
                <w:color w:val="auto"/>
              </w:rPr>
            </w:pPr>
            <w:r>
              <w:rPr>
                <w:rFonts w:ascii="Arial" w:cs="Arial" w:eastAsia="Arial" w:hAnsi="Arial"/>
                <w:sz w:val="18"/>
                <w:szCs w:val="18"/>
                <w:color w:val="auto"/>
                <w:w w:val="85"/>
              </w:rPr>
              <w:t>2.05</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volatility</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700" w:type="dxa"/>
            <w:vAlign w:val="bottom"/>
          </w:tcPr>
          <w:p>
            <w:pPr>
              <w:ind w:left="20"/>
              <w:spacing w:after="0"/>
              <w:rPr>
                <w:sz w:val="20"/>
                <w:szCs w:val="20"/>
                <w:color w:val="auto"/>
              </w:rPr>
            </w:pPr>
            <w:r>
              <w:rPr>
                <w:rFonts w:ascii="Arial" w:cs="Arial" w:eastAsia="Arial" w:hAnsi="Arial"/>
                <w:sz w:val="18"/>
                <w:szCs w:val="18"/>
                <w:color w:val="auto"/>
              </w:rPr>
              <w:t>- 95%</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Award life (weighted average)</w:t>
            </w:r>
          </w:p>
        </w:tc>
        <w:tc>
          <w:tcPr>
            <w:tcW w:w="4420" w:type="dxa"/>
            <w:vAlign w:val="bottom"/>
            <w:gridSpan w:val="3"/>
            <w:shd w:val="clear" w:color="auto" w:fill="CCEEFF"/>
          </w:tcPr>
          <w:p>
            <w:pPr>
              <w:jc w:val="center"/>
              <w:ind w:left="3030"/>
              <w:spacing w:after="0"/>
              <w:rPr>
                <w:sz w:val="20"/>
                <w:szCs w:val="20"/>
                <w:color w:val="auto"/>
              </w:rPr>
            </w:pPr>
            <w:r>
              <w:rPr>
                <w:rFonts w:ascii="Arial" w:cs="Arial" w:eastAsia="Arial" w:hAnsi="Arial"/>
                <w:sz w:val="18"/>
                <w:szCs w:val="18"/>
                <w:color w:val="auto"/>
                <w:w w:val="85"/>
              </w:rPr>
              <w:t>5.95</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dividends</w:t>
            </w:r>
          </w:p>
        </w:tc>
        <w:tc>
          <w:tcPr>
            <w:tcW w:w="2980" w:type="dxa"/>
            <w:vAlign w:val="bottom"/>
          </w:tcPr>
          <w:p>
            <w:pPr>
              <w:spacing w:after="0"/>
              <w:rPr>
                <w:sz w:val="18"/>
                <w:szCs w:val="18"/>
                <w:color w:val="auto"/>
              </w:rPr>
            </w:pPr>
          </w:p>
        </w:tc>
        <w:tc>
          <w:tcPr>
            <w:tcW w:w="144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- 1.25%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expected volatility was based on selected volatility determined by median values observed among other comparable public companies.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award life is based on the time interval between the date of grant and the date during the eight-year life after which, when making the grant, the Company expected on average that participants would exercise their options.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the amount recorded as an increase to Other Reserves within equity on the consolidated statement of financial position of the Share Option Plan was $366 thousand. The amount of expense for all awards recognized for services received during the year ended December 31, 2021, was $366 thousand (2020: $nil, 2019: $nil).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disclosures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8, 2021, GH Research Ireland Limited issued 5,270,400 Series B preferred shares (which were redesignated as into 2,108,159 ordinary shares prior to the closing of the IPO) to directors and entities affiliated with directors.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4, 2021, GH Research PLC granted the option to purchase 126,218 ordinary shares (which were redesignated into 50,487 ordinary shares prior to the closing of the IPO) to key management.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24, 2021, GH Research PLC redeemed 25,000 A ordinary shares of €1.00 each at par and, following the redemption, cancelled the 25,000 A ordinary shares of €1.00 each, see note 13, “Share capital and reserves” for details.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June 29, 2021, GH Research PLC issued 625,000 ordinary shares from the initial public offering to entities affiliated with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Management Compensation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Key management are those persons who have the authority and responsibility for planning, directing and controlling the activities of the Group. Key management is comprised of executive officers and the board of directors who served during the reporting period.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rPr>
              <w:t>Year ended</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40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40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60" w:type="dxa"/>
            <w:vAlign w:val="bottom"/>
          </w:tcPr>
          <w:p>
            <w:pPr>
              <w:jc w:val="right"/>
              <w:ind w:right="430"/>
              <w:spacing w:after="0" w:line="198" w:lineRule="exact"/>
              <w:rPr>
                <w:sz w:val="20"/>
                <w:szCs w:val="20"/>
                <w:color w:val="auto"/>
              </w:rPr>
            </w:pPr>
            <w:r>
              <w:rPr>
                <w:rFonts w:ascii="Arial" w:cs="Arial" w:eastAsia="Arial" w:hAnsi="Arial"/>
                <w:sz w:val="18"/>
                <w:szCs w:val="18"/>
                <w:b w:val="1"/>
                <w:bCs w:val="1"/>
                <w:color w:val="auto"/>
              </w:rPr>
              <w:t>2021</w:t>
            </w:r>
          </w:p>
        </w:tc>
        <w:tc>
          <w:tcPr>
            <w:tcW w:w="1520" w:type="dxa"/>
            <w:vAlign w:val="bottom"/>
          </w:tcPr>
          <w:p>
            <w:pPr>
              <w:jc w:val="right"/>
              <w:ind w:right="590"/>
              <w:spacing w:after="0" w:line="198" w:lineRule="exact"/>
              <w:rPr>
                <w:sz w:val="20"/>
                <w:szCs w:val="20"/>
                <w:color w:val="auto"/>
              </w:rPr>
            </w:pPr>
            <w:r>
              <w:rPr>
                <w:rFonts w:ascii="Arial" w:cs="Arial" w:eastAsia="Arial" w:hAnsi="Arial"/>
                <w:sz w:val="18"/>
                <w:szCs w:val="18"/>
                <w:b w:val="1"/>
                <w:bCs w:val="1"/>
                <w:color w:val="auto"/>
              </w:rPr>
              <w:t>2020</w:t>
            </w:r>
          </w:p>
        </w:tc>
        <w:tc>
          <w:tcPr>
            <w:tcW w:w="108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7"/>
                <w:szCs w:val="17"/>
                <w:color w:val="auto"/>
              </w:rPr>
            </w:pPr>
          </w:p>
        </w:tc>
      </w:tr>
      <w:tr>
        <w:trPr>
          <w:trHeight w:val="241"/>
        </w:trPr>
        <w:tc>
          <w:tcPr>
            <w:tcW w:w="40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$’000</w:t>
            </w:r>
          </w:p>
        </w:tc>
        <w:tc>
          <w:tcPr>
            <w:tcW w:w="152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$’000</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$’000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33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687</w:t>
            </w:r>
          </w:p>
        </w:tc>
        <w:tc>
          <w:tcPr>
            <w:tcW w:w="15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w:t>
            </w:r>
          </w:p>
        </w:tc>
        <w:tc>
          <w:tcPr>
            <w:tcW w:w="10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Shared based compensation expense</w:t>
            </w:r>
          </w:p>
        </w:tc>
        <w:tc>
          <w:tcPr>
            <w:tcW w:w="4580" w:type="dxa"/>
            <w:vAlign w:val="bottom"/>
            <w:gridSpan w:val="2"/>
          </w:tcPr>
          <w:p>
            <w:pPr>
              <w:jc w:val="right"/>
              <w:ind w:right="30"/>
              <w:spacing w:after="0"/>
              <w:rPr>
                <w:sz w:val="20"/>
                <w:szCs w:val="20"/>
                <w:color w:val="auto"/>
              </w:rPr>
            </w:pPr>
            <w:r>
              <w:rPr>
                <w:rFonts w:ascii="Arial" w:cs="Arial" w:eastAsia="Arial" w:hAnsi="Arial"/>
                <w:sz w:val="18"/>
                <w:szCs w:val="18"/>
                <w:color w:val="auto"/>
              </w:rPr>
              <w:t>163</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r>
      <w:tr>
        <w:trPr>
          <w:trHeight w:val="256"/>
        </w:trPr>
        <w:tc>
          <w:tcPr>
            <w:tcW w:w="406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850</w:t>
            </w:r>
          </w:p>
        </w:tc>
        <w:tc>
          <w:tcPr>
            <w:tcW w:w="15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b w:val="1"/>
                <w:bCs w:val="1"/>
                <w:color w:val="auto"/>
                <w:w w:val="88"/>
              </w:rPr>
              <w:t>—</w:t>
            </w:r>
          </w:p>
        </w:tc>
        <w:tc>
          <w:tcPr>
            <w:tcW w:w="20" w:type="dxa"/>
            <w:vAlign w:val="bottom"/>
            <w:tcBorders>
              <w:top w:val="single" w:sz="8" w:color="auto"/>
            </w:tcBorders>
          </w:tcPr>
          <w:p>
            <w:pPr>
              <w:spacing w:after="0"/>
              <w:rPr>
                <w:sz w:val="22"/>
                <w:szCs w:val="22"/>
                <w:color w:val="auto"/>
              </w:rPr>
            </w:pPr>
          </w:p>
        </w:tc>
      </w:tr>
      <w:tr>
        <w:trPr>
          <w:trHeight w:val="562"/>
        </w:trPr>
        <w:tc>
          <w:tcPr>
            <w:tcW w:w="4060" w:type="dxa"/>
            <w:vAlign w:val="bottom"/>
          </w:tcPr>
          <w:p>
            <w:pPr>
              <w:spacing w:after="0"/>
              <w:rPr>
                <w:sz w:val="24"/>
                <w:szCs w:val="24"/>
                <w:color w:val="auto"/>
              </w:rPr>
            </w:pPr>
          </w:p>
        </w:tc>
        <w:tc>
          <w:tcPr>
            <w:tcW w:w="4580" w:type="dxa"/>
            <w:vAlign w:val="bottom"/>
            <w:gridSpan w:val="2"/>
          </w:tcPr>
          <w:p>
            <w:pPr>
              <w:jc w:val="right"/>
              <w:ind w:right="2790"/>
              <w:spacing w:after="0"/>
              <w:rPr>
                <w:sz w:val="20"/>
                <w:szCs w:val="20"/>
                <w:color w:val="auto"/>
              </w:rPr>
            </w:pPr>
            <w:r>
              <w:rPr>
                <w:rFonts w:ascii="Arial" w:cs="Arial" w:eastAsia="Arial" w:hAnsi="Arial"/>
                <w:sz w:val="14"/>
                <w:szCs w:val="14"/>
                <w:color w:val="auto"/>
              </w:rPr>
              <w:t>F-20</w:t>
            </w:r>
          </w:p>
        </w:tc>
        <w:tc>
          <w:tcPr>
            <w:tcW w:w="1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
        </w:trPr>
        <w:tc>
          <w:tcPr>
            <w:tcW w:w="406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85" w:name="page186"/>
    <w:bookmarkEnd w:id="18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97790</wp:posOffset>
            </wp:positionV>
            <wp:extent cx="1217295" cy="2400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1217295" cy="24003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GH RESEARCH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Loss per share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basic loss per share is calculated by dividing the net loss attributable to shareholders by the weighted average number of shares in issue during the financial year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Year ended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5"/>
              </w:rPr>
              <w:t>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Loss attributable to shareholders (in $’000)</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(9,202)</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line="216" w:lineRule="exact"/>
              <w:rPr>
                <w:sz w:val="20"/>
                <w:szCs w:val="20"/>
                <w:color w:val="auto"/>
              </w:rPr>
            </w:pPr>
            <w:r>
              <w:rPr>
                <w:rFonts w:ascii="Arial" w:cs="Arial" w:eastAsia="Arial" w:hAnsi="Arial"/>
                <w:sz w:val="16"/>
                <w:szCs w:val="16"/>
                <w:color w:val="auto"/>
              </w:rPr>
              <w:t>Weighted average number of shares in issue</w:t>
            </w:r>
            <w:r>
              <w:rPr>
                <w:rFonts w:ascii="Arial" w:cs="Arial" w:eastAsia="Arial" w:hAnsi="Arial"/>
                <w:sz w:val="25"/>
                <w:szCs w:val="25"/>
                <w:color w:val="auto"/>
                <w:vertAlign w:val="superscript"/>
              </w:rPr>
              <w:t>(1) (2)</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43,683,296</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28,359,368</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28,000,000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 (in USD)</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(0.211)</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(0.016)</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(0.011)</w:t>
            </w:r>
          </w:p>
        </w:tc>
      </w:tr>
    </w:tbl>
    <w:p>
      <w:pPr>
        <w:spacing w:after="0" w:line="202" w:lineRule="exact"/>
        <w:rPr>
          <w:sz w:val="20"/>
          <w:szCs w:val="20"/>
          <w:color w:val="auto"/>
        </w:rPr>
      </w:pPr>
    </w:p>
    <w:p>
      <w:pPr>
        <w:ind w:right="20" w:firstLine="8"/>
        <w:spacing w:after="0" w:line="221" w:lineRule="auto"/>
        <w:tabs>
          <w:tab w:leader="none" w:pos="228" w:val="left"/>
        </w:tabs>
        <w:numPr>
          <w:ilvl w:val="0"/>
          <w:numId w:val="128"/>
        </w:numPr>
        <w:rPr>
          <w:rFonts w:ascii="Arial" w:cs="Arial" w:eastAsia="Arial" w:hAnsi="Arial"/>
          <w:sz w:val="26"/>
          <w:szCs w:val="26"/>
          <w:color w:val="auto"/>
          <w:vertAlign w:val="superscript"/>
        </w:rPr>
      </w:pPr>
      <w:r>
        <w:rPr>
          <w:rFonts w:ascii="Arial" w:cs="Arial" w:eastAsia="Arial" w:hAnsi="Arial"/>
          <w:sz w:val="16"/>
          <w:szCs w:val="16"/>
          <w:color w:val="auto"/>
        </w:rPr>
        <w:t>Share data for the years ended December 31, 2020 and 2019, has been revised to give effect to the share consolidation as explained in note 13, “Share capital and reserves”.</w:t>
      </w:r>
    </w:p>
    <w:p>
      <w:pPr>
        <w:spacing w:after="0" w:line="1" w:lineRule="exact"/>
        <w:rPr>
          <w:rFonts w:ascii="Arial" w:cs="Arial" w:eastAsia="Arial" w:hAnsi="Arial"/>
          <w:sz w:val="26"/>
          <w:szCs w:val="26"/>
          <w:color w:val="auto"/>
          <w:vertAlign w:val="superscript"/>
        </w:rPr>
      </w:pPr>
    </w:p>
    <w:p>
      <w:pPr>
        <w:ind w:right="20" w:firstLine="8"/>
        <w:spacing w:after="0" w:line="196" w:lineRule="auto"/>
        <w:tabs>
          <w:tab w:leader="none" w:pos="249" w:val="left"/>
        </w:tabs>
        <w:numPr>
          <w:ilvl w:val="0"/>
          <w:numId w:val="128"/>
        </w:numPr>
        <w:rPr>
          <w:rFonts w:ascii="Arial" w:cs="Arial" w:eastAsia="Arial" w:hAnsi="Arial"/>
          <w:sz w:val="29"/>
          <w:szCs w:val="29"/>
          <w:color w:val="auto"/>
          <w:vertAlign w:val="superscript"/>
        </w:rPr>
      </w:pPr>
      <w:r>
        <w:rPr>
          <w:rFonts w:ascii="Arial" w:cs="Arial" w:eastAsia="Arial" w:hAnsi="Arial"/>
          <w:sz w:val="17"/>
          <w:szCs w:val="17"/>
          <w:color w:val="auto"/>
        </w:rPr>
        <w:t>Ordinary and preferred shares as of December 31, 2020 have been treated as a single class for the purpose of calculating loss per share as they contractually shared equally in the profits and losses of the entity.</w:t>
      </w:r>
    </w:p>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the years ended December 31, 2021, 2020 and 2019, basic and diluted loss per share are calculated on the weighted average number of shares issued and outstanding and exclude shares to be issued under the Share Option Plan, as the effect of including those shares would be anti-dilutive.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Events after the reporting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events after the reporting date requiring disclosure in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w:t>
      </w:r>
    </w:p>
    <w:p>
      <w:pPr>
        <w:spacing w:after="0" w:line="14" w:lineRule="exact"/>
        <w:rPr>
          <w:sz w:val="20"/>
          <w:szCs w:val="20"/>
          <w:color w:val="auto"/>
        </w:rPr>
      </w:pPr>
    </w:p>
    <w:p>
      <w:pPr>
        <w:jc w:val="center"/>
        <w:spacing w:after="0" w:line="234" w:lineRule="auto"/>
        <w:rPr>
          <w:sz w:val="20"/>
          <w:szCs w:val="20"/>
          <w:color w:val="auto"/>
        </w:rPr>
      </w:pPr>
      <w:r>
        <w:rPr>
          <w:rFonts w:ascii="Arial" w:cs="Arial" w:eastAsia="Arial" w:hAnsi="Arial"/>
          <w:sz w:val="22"/>
          <w:szCs w:val="22"/>
          <w:b w:val="1"/>
          <w:bCs w:val="1"/>
          <w:color w:val="auto"/>
        </w:rPr>
        <w:t>DESCRIPTION OF THE REGISTRANT’S SECURITIES REGISTERED PURSUANT TO SECTION 12 OF THE SECURITIES EXCHANGE ACT OF 1934</w:t>
      </w:r>
    </w:p>
    <w:p>
      <w:pPr>
        <w:spacing w:after="0" w:line="214" w:lineRule="exact"/>
        <w:rPr>
          <w:sz w:val="20"/>
          <w:szCs w:val="20"/>
          <w:color w:val="auto"/>
        </w:rPr>
      </w:pPr>
    </w:p>
    <w:p>
      <w:pPr>
        <w:ind w:right="60" w:firstLine="324"/>
        <w:spacing w:after="0" w:line="236" w:lineRule="auto"/>
        <w:rPr>
          <w:sz w:val="20"/>
          <w:szCs w:val="20"/>
          <w:color w:val="auto"/>
        </w:rPr>
      </w:pPr>
      <w:r>
        <w:rPr>
          <w:rFonts w:ascii="Arial" w:cs="Arial" w:eastAsia="Arial" w:hAnsi="Arial"/>
          <w:sz w:val="22"/>
          <w:szCs w:val="22"/>
          <w:color w:val="auto"/>
        </w:rPr>
        <w:t>The following description of our share capital is a summary and does not purport to be complete. It is subject to and qualified in its entirety by reference to Irish law, including without limitation the Irish Companies Act 2014 (as amended) (referred to herein as the Irish Companies Act), and by reference to our Constitution, a form of which is incorporated by reference as an exhibit to the Annual Report on Form 20-F of which this exhibit is a part. We encourage you to review applicable Irish law and our Constitution for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Company</w:t>
      </w:r>
    </w:p>
    <w:p>
      <w:pPr>
        <w:spacing w:after="0" w:line="239" w:lineRule="exact"/>
        <w:rPr>
          <w:sz w:val="20"/>
          <w:szCs w:val="20"/>
          <w:color w:val="auto"/>
        </w:rPr>
      </w:pPr>
    </w:p>
    <w:p>
      <w:pPr>
        <w:ind w:firstLine="324"/>
        <w:spacing w:after="0" w:line="279" w:lineRule="auto"/>
        <w:rPr>
          <w:sz w:val="20"/>
          <w:szCs w:val="20"/>
          <w:color w:val="auto"/>
        </w:rPr>
      </w:pPr>
      <w:r>
        <w:rPr>
          <w:rFonts w:ascii="Arial" w:cs="Arial" w:eastAsia="Arial" w:hAnsi="Arial"/>
          <w:sz w:val="19"/>
          <w:szCs w:val="19"/>
          <w:color w:val="auto"/>
        </w:rPr>
        <w:t>We are a public limited company incorporated under the laws of Ireland. We were incorporated on March 29, 2021 to become a holding company for GH Research Ireland Limited. GH Research Ireland Limited was originally incorporated under the laws of Ireland on October 16, 2018 as GH Research Limited. GH Research Limited was re-registered as GH Research Ireland Limited on March 29, 2021. Pursuant to the terms of the Corporate Reorganization (as defined below), all shareholders of GH Research Ireland Limited exchanged each of the shares held by them for shares in GH Research PLC of the same share classes with the same shareholder rights and, as a result, GH Research Ireland Limited became a wholly owned subsidiary of GH Research PLC.</w:t>
      </w:r>
    </w:p>
    <w:p>
      <w:pPr>
        <w:spacing w:after="0" w:line="177" w:lineRule="exact"/>
        <w:rPr>
          <w:sz w:val="20"/>
          <w:szCs w:val="20"/>
          <w:color w:val="auto"/>
        </w:rPr>
      </w:pPr>
    </w:p>
    <w:p>
      <w:pPr>
        <w:ind w:right="460" w:firstLine="324"/>
        <w:spacing w:after="0" w:line="250" w:lineRule="auto"/>
        <w:rPr>
          <w:sz w:val="20"/>
          <w:szCs w:val="20"/>
          <w:color w:val="auto"/>
        </w:rPr>
      </w:pPr>
      <w:r>
        <w:rPr>
          <w:rFonts w:ascii="Arial" w:cs="Arial" w:eastAsia="Arial" w:hAnsi="Arial"/>
          <w:sz w:val="22"/>
          <w:szCs w:val="22"/>
          <w:color w:val="auto"/>
        </w:rPr>
        <w:t>We are registered with the Companies Registration Office in Ireland under company registration number 691405 and our registered office is at 28 Baggot Street Lower, Dublin 2, Dublin, D02 NX43, Ireland.</w:t>
      </w:r>
    </w:p>
    <w:p>
      <w:pPr>
        <w:spacing w:after="0" w:line="202" w:lineRule="exact"/>
        <w:rPr>
          <w:sz w:val="20"/>
          <w:szCs w:val="20"/>
          <w:color w:val="auto"/>
        </w:rPr>
      </w:pPr>
    </w:p>
    <w:p>
      <w:pPr>
        <w:ind w:right="40" w:firstLine="324"/>
        <w:spacing w:after="0" w:line="234" w:lineRule="auto"/>
        <w:rPr>
          <w:sz w:val="20"/>
          <w:szCs w:val="20"/>
          <w:color w:val="auto"/>
        </w:rPr>
      </w:pPr>
      <w:r>
        <w:rPr>
          <w:rFonts w:ascii="Arial" w:cs="Arial" w:eastAsia="Arial" w:hAnsi="Arial"/>
          <w:sz w:val="22"/>
          <w:szCs w:val="22"/>
          <w:color w:val="auto"/>
        </w:rPr>
        <w:t>Our objects, detailed in Clause 3 of our memorandum of association, found in our Constitution, are varied and wide ranging and include, among other things, the carrying on of the business of a holding company and of the businesses of a researcher, developer, manufacturer, distributor, wholesaler, retailer, service provider, investor, trader and any other business which may seem to the our board of directors capable of being conveniently carried on in connection with these objects or calculated directly or indirectly to enhance the value of or render more profitable any of our property. For a more fulsome description of our objects, we encourage you to review the full version of our Constitution, a form of which is incorporated by reference as an exhibit to this Annual Report.</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For further information on our Constitution, please see “—Key Provisions of our Constitution” below.</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and Issued Share Capital</w:t>
      </w:r>
    </w:p>
    <w:p>
      <w:pPr>
        <w:spacing w:after="0" w:line="239" w:lineRule="exact"/>
        <w:rPr>
          <w:sz w:val="20"/>
          <w:szCs w:val="20"/>
          <w:color w:val="auto"/>
        </w:rPr>
      </w:pPr>
    </w:p>
    <w:p>
      <w:pPr>
        <w:ind w:firstLine="324"/>
        <w:spacing w:after="0" w:line="287" w:lineRule="auto"/>
        <w:rPr>
          <w:sz w:val="20"/>
          <w:szCs w:val="20"/>
          <w:color w:val="auto"/>
        </w:rPr>
      </w:pPr>
      <w:r>
        <w:rPr>
          <w:rFonts w:ascii="Arial" w:cs="Arial" w:eastAsia="Arial" w:hAnsi="Arial"/>
          <w:sz w:val="19"/>
          <w:szCs w:val="19"/>
          <w:color w:val="auto"/>
        </w:rPr>
        <w:t>Pursuant to the terms of a share for share exchange agreement dated May 27, 2021, all shareholders of GH Research Ireland Limited exchanged each of the shares held by them for ordinary shares of GH Research PLC of the same share classes with the same shareholder rights as the shares held by them in GH Research Ireland Limited and, as a result, GH Research Ireland Limited became a wholly owned subsidiary of GH Research PLC (referred to herein as the Corporate Reorganization).</w:t>
      </w:r>
    </w:p>
    <w:p>
      <w:pPr>
        <w:spacing w:after="0" w:line="170" w:lineRule="exact"/>
        <w:rPr>
          <w:sz w:val="20"/>
          <w:szCs w:val="20"/>
          <w:color w:val="auto"/>
        </w:rPr>
      </w:pPr>
    </w:p>
    <w:p>
      <w:pPr>
        <w:ind w:right="60" w:firstLine="324"/>
        <w:spacing w:after="0" w:line="276" w:lineRule="auto"/>
        <w:rPr>
          <w:sz w:val="20"/>
          <w:szCs w:val="20"/>
          <w:color w:val="auto"/>
        </w:rPr>
      </w:pPr>
      <w:r>
        <w:rPr>
          <w:rFonts w:ascii="Arial" w:cs="Arial" w:eastAsia="Arial" w:hAnsi="Arial"/>
          <w:sz w:val="19"/>
          <w:szCs w:val="19"/>
          <w:color w:val="auto"/>
        </w:rPr>
        <w:t>Pursuant to a shareholder resolution of GH Research PLC dated June 24, 2021, we effected (a) the conversion of (i) 5,923,079 Series A preferred shares of nominal value $0.01 each into 5,923,079 ordinary shares of nominal value $0.01 each and</w:t>
      </w:r>
    </w:p>
    <w:p>
      <w:pPr>
        <w:spacing w:after="0" w:line="1" w:lineRule="exact"/>
        <w:rPr>
          <w:sz w:val="20"/>
          <w:szCs w:val="20"/>
          <w:color w:val="auto"/>
        </w:rPr>
      </w:pPr>
    </w:p>
    <w:p>
      <w:pPr>
        <w:ind w:right="120" w:firstLine="8"/>
        <w:spacing w:after="0" w:line="245" w:lineRule="auto"/>
        <w:tabs>
          <w:tab w:leader="none" w:pos="318" w:val="left"/>
        </w:tabs>
        <w:numPr>
          <w:ilvl w:val="0"/>
          <w:numId w:val="129"/>
        </w:numPr>
        <w:rPr>
          <w:rFonts w:ascii="Arial" w:cs="Arial" w:eastAsia="Arial" w:hAnsi="Arial"/>
          <w:sz w:val="21"/>
          <w:szCs w:val="21"/>
          <w:color w:val="auto"/>
        </w:rPr>
      </w:pPr>
      <w:r>
        <w:rPr>
          <w:rFonts w:ascii="Arial" w:cs="Arial" w:eastAsia="Arial" w:hAnsi="Arial"/>
          <w:sz w:val="21"/>
          <w:szCs w:val="21"/>
          <w:color w:val="auto"/>
        </w:rPr>
        <w:t>25,379,047 Series B preferred shares of nominal value $0.01 each into 25,379,047 ordinary shares of nominal value $0.01 each and (b) the 2.50-for-one share consolidation of the existing ordinary shares into ordinary shares of nominal value $0.025 each, such that the authorized share capital of the Company was thereafter $1,000,000,000 divided into 40,000,000,000 ordinary shares of nominal value $0.025 (collectively referred to herein as the Share Consolidation), immediately after the SEC declared the registration statement for our initial public offering effective.</w:t>
      </w:r>
    </w:p>
    <w:p>
      <w:pPr>
        <w:spacing w:after="0" w:line="207" w:lineRule="exact"/>
        <w:rPr>
          <w:sz w:val="20"/>
          <w:szCs w:val="20"/>
          <w:color w:val="auto"/>
        </w:rPr>
      </w:pPr>
    </w:p>
    <w:p>
      <w:pPr>
        <w:ind w:right="220" w:firstLine="324"/>
        <w:spacing w:after="0" w:line="250" w:lineRule="auto"/>
        <w:rPr>
          <w:sz w:val="20"/>
          <w:szCs w:val="20"/>
          <w:color w:val="auto"/>
        </w:rPr>
      </w:pPr>
      <w:r>
        <w:rPr>
          <w:rFonts w:ascii="Arial" w:cs="Arial" w:eastAsia="Arial" w:hAnsi="Arial"/>
          <w:sz w:val="22"/>
          <w:szCs w:val="22"/>
          <w:color w:val="auto"/>
        </w:rPr>
        <w:t>As of December 31, 2021, the issued and outstanding share capital of GH Research PLC was 52,020,849 ordinary shares of nominal value $0.025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87" w:name="page188"/>
    <w:bookmarkEnd w:id="187"/>
    <w:p>
      <w:pPr>
        <w:spacing w:after="0"/>
        <w:rPr>
          <w:sz w:val="20"/>
          <w:szCs w:val="20"/>
          <w:color w:val="auto"/>
        </w:rPr>
      </w:pPr>
      <w:r>
        <w:rPr>
          <w:rFonts w:ascii="Arial" w:cs="Arial" w:eastAsia="Arial" w:hAnsi="Arial"/>
          <w:sz w:val="22"/>
          <w:szCs w:val="22"/>
          <w:b w:val="1"/>
          <w:bCs w:val="1"/>
          <w:color w:val="auto"/>
        </w:rPr>
        <w:t>Ordinary Shares</w:t>
      </w:r>
    </w:p>
    <w:p>
      <w:pPr>
        <w:spacing w:after="0" w:line="240" w:lineRule="exact"/>
        <w:rPr>
          <w:sz w:val="20"/>
          <w:szCs w:val="20"/>
          <w:color w:val="auto"/>
        </w:rPr>
      </w:pPr>
    </w:p>
    <w:p>
      <w:pPr>
        <w:jc w:val="both"/>
        <w:ind w:right="40" w:firstLine="324"/>
        <w:spacing w:after="0"/>
        <w:rPr>
          <w:sz w:val="20"/>
          <w:szCs w:val="20"/>
          <w:color w:val="auto"/>
        </w:rPr>
      </w:pPr>
      <w:r>
        <w:rPr>
          <w:rFonts w:ascii="Arial" w:cs="Arial" w:eastAsia="Arial" w:hAnsi="Arial"/>
          <w:sz w:val="22"/>
          <w:szCs w:val="22"/>
          <w:color w:val="auto"/>
        </w:rPr>
        <w:t>Our ordinary shares have a nominal value of $0.025 per share. Further details of the rights attaching to the ordinary shares are set out in the comparison table below and in the Constitution. In accordance with the Constitution, the following summarizes the rights of our ordinary shares:</w:t>
      </w:r>
    </w:p>
    <w:p>
      <w:pPr>
        <w:spacing w:after="0" w:line="220" w:lineRule="exact"/>
        <w:rPr>
          <w:sz w:val="20"/>
          <w:szCs w:val="20"/>
          <w:color w:val="auto"/>
        </w:rPr>
      </w:pPr>
    </w:p>
    <w:p>
      <w:pPr>
        <w:ind w:left="660" w:hanging="328"/>
        <w:spacing w:after="0"/>
        <w:tabs>
          <w:tab w:leader="none" w:pos="6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holders of ordinary shares are entitled to one vote for each ordinary share held of record on all matters submitted to a vote of the shareholders;</w:t>
      </w:r>
    </w:p>
    <w:p>
      <w:pPr>
        <w:spacing w:after="0" w:line="275"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holders of our ordinary shares shall be entitled to receive notice of, attend, speak and vote at our general meetings and receive a copy of every report, accounts, circular or other documents sent out by us to our shareholders; and</w:t>
      </w:r>
    </w:p>
    <w:p>
      <w:pPr>
        <w:spacing w:after="0" w:line="197"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holders of our ordinary shares are entitled to receive such dividends as are recommended by our directors and declared by our shareholders or in the case of an interim dividend, declared by our directors.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Exchange Listing</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Our ordinary shares are listed on the Nasdaq Global Market, under the symbol “GHRS.”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 of Shares</w:t>
      </w:r>
    </w:p>
    <w:p>
      <w:pPr>
        <w:spacing w:after="0" w:line="239" w:lineRule="exact"/>
        <w:rPr>
          <w:sz w:val="20"/>
          <w:szCs w:val="20"/>
          <w:color w:val="auto"/>
        </w:rPr>
      </w:pPr>
    </w:p>
    <w:p>
      <w:pPr>
        <w:ind w:right="600" w:firstLine="324"/>
        <w:spacing w:after="0" w:line="328" w:lineRule="auto"/>
        <w:rPr>
          <w:sz w:val="20"/>
          <w:szCs w:val="20"/>
          <w:color w:val="auto"/>
        </w:rPr>
      </w:pPr>
      <w:r>
        <w:rPr>
          <w:rFonts w:ascii="Arial" w:cs="Arial" w:eastAsia="Arial" w:hAnsi="Arial"/>
          <w:sz w:val="19"/>
          <w:szCs w:val="19"/>
          <w:color w:val="auto"/>
        </w:rPr>
        <w:t>Our share register is kept by Computershare Trust Company, N.A., which acts as transfer agent and registrar. The share register reflects only record owners of our shares. Irish law does not recognize fractional shares held of record.</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Provisions of our Constitution</w:t>
      </w:r>
    </w:p>
    <w:p>
      <w:pPr>
        <w:spacing w:after="0" w:line="239" w:lineRule="exact"/>
        <w:rPr>
          <w:sz w:val="20"/>
          <w:szCs w:val="20"/>
          <w:color w:val="auto"/>
        </w:rPr>
      </w:pPr>
    </w:p>
    <w:p>
      <w:pPr>
        <w:ind w:right="100" w:firstLine="324"/>
        <w:spacing w:after="0" w:line="297" w:lineRule="auto"/>
        <w:rPr>
          <w:sz w:val="20"/>
          <w:szCs w:val="20"/>
          <w:color w:val="auto"/>
        </w:rPr>
      </w:pPr>
      <w:r>
        <w:rPr>
          <w:rFonts w:ascii="Arial" w:cs="Arial" w:eastAsia="Arial" w:hAnsi="Arial"/>
          <w:sz w:val="19"/>
          <w:szCs w:val="19"/>
          <w:color w:val="auto"/>
        </w:rPr>
        <w:t>The Constitution was adopted on June 24, 2021 and a summary of certain key provisions of the Constitution is set out below. The summary below is not a complete copy of the terms of the Constitution. For further information, please refer to the full version of the Constitution, a form of which is incorporated by reference as an exhibit to this Annual Report.</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Constitution contains, among other things, provisions to the following effect: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 Capital</w:t>
      </w:r>
    </w:p>
    <w:p>
      <w:pPr>
        <w:spacing w:after="0" w:line="233" w:lineRule="exact"/>
        <w:rPr>
          <w:sz w:val="20"/>
          <w:szCs w:val="20"/>
          <w:color w:val="auto"/>
        </w:rPr>
      </w:pPr>
    </w:p>
    <w:p>
      <w:pPr>
        <w:ind w:right="740" w:firstLine="324"/>
        <w:spacing w:after="0" w:line="274" w:lineRule="auto"/>
        <w:rPr>
          <w:sz w:val="20"/>
          <w:szCs w:val="20"/>
          <w:color w:val="auto"/>
        </w:rPr>
      </w:pPr>
      <w:r>
        <w:rPr>
          <w:rFonts w:ascii="Arial" w:cs="Arial" w:eastAsia="Arial" w:hAnsi="Arial"/>
          <w:sz w:val="21"/>
          <w:szCs w:val="21"/>
          <w:color w:val="auto"/>
        </w:rPr>
        <w:t>The share capital consists of ordinary shares, nominal value $0.025 per share. Our authorized share capital consists of $1,000,000,000 divided into 40,000,000,000 ordinary shares, nominal value $0.025 per share.</w:t>
      </w:r>
    </w:p>
    <w:p>
      <w:pPr>
        <w:spacing w:after="0" w:line="178" w:lineRule="exact"/>
        <w:rPr>
          <w:sz w:val="20"/>
          <w:szCs w:val="20"/>
          <w:color w:val="auto"/>
        </w:rPr>
      </w:pPr>
    </w:p>
    <w:p>
      <w:pPr>
        <w:ind w:firstLine="324"/>
        <w:spacing w:after="0" w:line="245" w:lineRule="auto"/>
        <w:rPr>
          <w:sz w:val="20"/>
          <w:szCs w:val="20"/>
          <w:color w:val="auto"/>
        </w:rPr>
      </w:pPr>
      <w:r>
        <w:rPr>
          <w:rFonts w:ascii="Arial" w:cs="Arial" w:eastAsia="Arial" w:hAnsi="Arial"/>
          <w:sz w:val="21"/>
          <w:szCs w:val="21"/>
          <w:color w:val="auto"/>
        </w:rPr>
        <w:t>We may issue shares subject to the maximum authorized share capital contained in our Constitution. The authorized share capital may be increased or reduced by a simple majority of the votes of the shareholders cast at a general meeting (which is referred to under Irish law as an ordinary resolution). The shares comprising our authorized share capital may be divided into shares of such nominal value as such resolution shall prescribe. As a matter of Irish company law, the directors of a company may issue new ordinary shares without shareholder approval once authorized to do so by the Constitution or by an ordinary resolution adopted by the shareholders at a general meeting. The authorization may be granted for a maximum period of five years, so it must be renewed by the shareholders by an ordinary resolution on or before the expiry of this term (if we wish to issue shares). The Constitution authorizes our board of directors to allot new ordinary shares without shareholder approval for a period of five years from the date of adoption of the Constitution.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rights and restrictions to which the ordinary shares are subject is prescribed in the Constitution.</w:t>
      </w:r>
    </w:p>
    <w:p>
      <w:pPr>
        <w:spacing w:after="0" w:line="233" w:lineRule="exact"/>
        <w:rPr>
          <w:sz w:val="20"/>
          <w:szCs w:val="20"/>
          <w:color w:val="auto"/>
        </w:rPr>
      </w:pPr>
    </w:p>
    <w:p>
      <w:pPr>
        <w:ind w:right="60" w:firstLine="324"/>
        <w:spacing w:after="0" w:line="297" w:lineRule="auto"/>
        <w:rPr>
          <w:sz w:val="20"/>
          <w:szCs w:val="20"/>
          <w:color w:val="auto"/>
        </w:rPr>
      </w:pPr>
      <w:r>
        <w:rPr>
          <w:rFonts w:ascii="Arial" w:cs="Arial" w:eastAsia="Arial" w:hAnsi="Arial"/>
          <w:sz w:val="19"/>
          <w:szCs w:val="19"/>
          <w:color w:val="auto"/>
        </w:rPr>
        <w:t>The holders of our ordinary shares are entitled to one vote for each ordinary share upon all matters presented to our shareholders. Subject to any preferences granted to other classes of our securities that may be outstanding in the future (including any preferred shares that may be created), there are no voting right restrictions or preferences with respect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8" w:name="page189"/>
    <w:bookmarkEnd w:id="188"/>
    <w:p>
      <w:pPr>
        <w:ind w:right="140" w:firstLine="324"/>
        <w:spacing w:after="0" w:line="329" w:lineRule="auto"/>
        <w:rPr>
          <w:sz w:val="20"/>
          <w:szCs w:val="20"/>
          <w:color w:val="auto"/>
        </w:rPr>
      </w:pPr>
      <w:r>
        <w:rPr>
          <w:rFonts w:ascii="Arial" w:cs="Arial" w:eastAsia="Arial" w:hAnsi="Arial"/>
          <w:sz w:val="19"/>
          <w:szCs w:val="19"/>
          <w:color w:val="auto"/>
        </w:rPr>
        <w:t>Irish law does not recognize fractional shares held of record. Accordingly, the Constitution does not provide for the issuance of fractional shares of ours, and our register of members, or the register of members, does not reflect any fractional shares.</w:t>
      </w:r>
    </w:p>
    <w:p>
      <w:pPr>
        <w:spacing w:after="0" w:line="131" w:lineRule="exact"/>
        <w:rPr>
          <w:sz w:val="20"/>
          <w:szCs w:val="20"/>
          <w:color w:val="auto"/>
        </w:rPr>
      </w:pPr>
    </w:p>
    <w:p>
      <w:pPr>
        <w:ind w:firstLine="324"/>
        <w:spacing w:after="0" w:line="252" w:lineRule="auto"/>
        <w:rPr>
          <w:sz w:val="20"/>
          <w:szCs w:val="20"/>
          <w:color w:val="auto"/>
        </w:rPr>
      </w:pPr>
      <w:r>
        <w:rPr>
          <w:rFonts w:ascii="Arial" w:cs="Arial" w:eastAsia="Arial" w:hAnsi="Arial"/>
          <w:sz w:val="21"/>
          <w:szCs w:val="21"/>
          <w:color w:val="auto"/>
        </w:rPr>
        <w:t>Whenever an alteration or reorganization of the share capital of ours would result in any of our shareholders becoming entitled to fractions of a share, our board of directors may, on behalf of those shareholders that would become entitled to fractions of a share, arrange for the sale of the shares representing fractions and the distribution of the net proceeds of sale in due proportion among the shareholders who would have been entitled to the fractions.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Voting</w:t>
      </w:r>
    </w:p>
    <w:p>
      <w:pPr>
        <w:spacing w:after="0" w:line="233" w:lineRule="exact"/>
        <w:rPr>
          <w:sz w:val="20"/>
          <w:szCs w:val="20"/>
          <w:color w:val="auto"/>
        </w:rPr>
      </w:pPr>
    </w:p>
    <w:p>
      <w:pPr>
        <w:ind w:right="60" w:firstLine="324"/>
        <w:spacing w:after="0" w:line="236" w:lineRule="auto"/>
        <w:rPr>
          <w:sz w:val="20"/>
          <w:szCs w:val="20"/>
          <w:color w:val="auto"/>
        </w:rPr>
      </w:pPr>
      <w:r>
        <w:rPr>
          <w:rFonts w:ascii="Arial" w:cs="Arial" w:eastAsia="Arial" w:hAnsi="Arial"/>
          <w:sz w:val="22"/>
          <w:szCs w:val="22"/>
          <w:color w:val="auto"/>
        </w:rPr>
        <w:t>All matters, other than those requiring a special resolution, may be approved by a simple majority of the members present (in person or by proxy) at any meeting. The presence, in person or by proxy, of one or more persons holding or representing by proxy at least 25% of the votes that may be cast by all members or, at any adjourned general meeting of such holders, one holder holding or representing by proxy at least 25% of the votes that may be cast by all members constitutes a quorum for the conduct of business.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At any of our meetings, all resolutions put to our shareholders will be decided on a poll.</w:t>
      </w:r>
    </w:p>
    <w:p>
      <w:pPr>
        <w:spacing w:after="0" w:line="233" w:lineRule="exact"/>
        <w:rPr>
          <w:sz w:val="20"/>
          <w:szCs w:val="20"/>
          <w:color w:val="auto"/>
        </w:rPr>
      </w:pPr>
    </w:p>
    <w:p>
      <w:pPr>
        <w:ind w:right="180" w:firstLine="324"/>
        <w:spacing w:after="0"/>
        <w:rPr>
          <w:sz w:val="20"/>
          <w:szCs w:val="20"/>
          <w:color w:val="auto"/>
        </w:rPr>
      </w:pPr>
      <w:r>
        <w:rPr>
          <w:rFonts w:ascii="Arial" w:cs="Arial" w:eastAsia="Arial" w:hAnsi="Arial"/>
          <w:sz w:val="22"/>
          <w:szCs w:val="22"/>
          <w:color w:val="auto"/>
        </w:rPr>
        <w:t>Irish company law requires certain matters to be approved by not less than 75% of the votes cast at a general meeting of our shareholders (which is referred to under Irish law as a special resolution). Examples of matters requiring special resolutions include:</w:t>
      </w:r>
    </w:p>
    <w:p>
      <w:pPr>
        <w:spacing w:after="0" w:line="220" w:lineRule="exact"/>
        <w:rPr>
          <w:sz w:val="20"/>
          <w:szCs w:val="20"/>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amending the Constitution;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approving a change of name of GH Research PLC;</w:t>
      </w:r>
    </w:p>
    <w:p>
      <w:pPr>
        <w:spacing w:after="0" w:line="252"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authorizing the entering into of a guarantee or provision of security in connection with a loan, quasi-loan or credit transaction to a director or connected person;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opting out of preemption rights on the issuance of new shares for cash;</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our re-registration from a public limited company to a private company;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variation of class rights attaching to classes of shares (where the Constitution does not provide otherwise);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purchase of our shares off-market;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reduction of issued share capital;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sanctioning a compromise/scheme of arrangement;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resolving that we be wound up by the Irish courts;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resolving in favor of a shareholders’ voluntary winding up;</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re-designation of shares into different share classes;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setting the reissue price of treasury shares.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Variation of Rights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9"/>
          <w:szCs w:val="19"/>
          <w:color w:val="auto"/>
        </w:rPr>
        <w:t>Where our shares are divided into different classes, the rights attaching to a class of shares may only be varied or abrogated if</w:t>
      </w:r>
    </w:p>
    <w:p>
      <w:pPr>
        <w:spacing w:after="0" w:line="43" w:lineRule="exact"/>
        <w:rPr>
          <w:sz w:val="20"/>
          <w:szCs w:val="20"/>
          <w:color w:val="auto"/>
        </w:rPr>
      </w:pPr>
    </w:p>
    <w:p>
      <w:pPr>
        <w:ind w:right="20" w:firstLine="8"/>
        <w:spacing w:after="0" w:line="273" w:lineRule="auto"/>
        <w:tabs>
          <w:tab w:leader="none" w:pos="294"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the holders of 75% in nominal value of the issued shares of that class consent in writing to the variation, or (b) a special resolution, passed at a separate general meeting of the holders of that class, sanctions the variation. The quorum at any such separate general meeting, other than an adjourned meeting, shall be one or more persons holding or representing by proxy at least 25% of the votes that may be cast by shareholders at the relevant time. The rights conferred upon the holders of any class of shares issued with preferred or other rights shall not, unless otherwise expressly provided by the terms of issue of the shares of that class, be deemed to be varied by a purchase or redemption by us of our own shares or by the creation or issue of further shares ranking pari passu therewith or subordinate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9" w:name="page190"/>
    <w:bookmarkEnd w:id="189"/>
    <w:p>
      <w:pPr>
        <w:spacing w:after="0"/>
        <w:rPr>
          <w:sz w:val="20"/>
          <w:szCs w:val="20"/>
          <w:color w:val="auto"/>
        </w:rPr>
      </w:pPr>
      <w:r>
        <w:rPr>
          <w:rFonts w:ascii="Arial" w:cs="Arial" w:eastAsia="Arial" w:hAnsi="Arial"/>
          <w:sz w:val="22"/>
          <w:szCs w:val="22"/>
          <w:b w:val="1"/>
          <w:bCs w:val="1"/>
          <w:i w:val="1"/>
          <w:iCs w:val="1"/>
          <w:color w:val="auto"/>
        </w:rPr>
        <w:t>Dividends</w:t>
      </w:r>
    </w:p>
    <w:p>
      <w:pPr>
        <w:spacing w:after="0" w:line="234" w:lineRule="exact"/>
        <w:rPr>
          <w:sz w:val="20"/>
          <w:szCs w:val="20"/>
          <w:color w:val="auto"/>
        </w:rPr>
      </w:pPr>
    </w:p>
    <w:p>
      <w:pPr>
        <w:ind w:right="40" w:firstLine="324"/>
        <w:spacing w:after="0" w:line="272" w:lineRule="auto"/>
        <w:rPr>
          <w:sz w:val="20"/>
          <w:szCs w:val="20"/>
          <w:color w:val="auto"/>
        </w:rPr>
      </w:pPr>
      <w:r>
        <w:rPr>
          <w:rFonts w:ascii="Arial" w:cs="Arial" w:eastAsia="Arial" w:hAnsi="Arial"/>
          <w:sz w:val="19"/>
          <w:szCs w:val="19"/>
          <w:color w:val="auto"/>
        </w:rPr>
        <w:t>Under Irish law, dividends and distributions may only be made from distributable reserves. Distributable reserves, broadly, means the accumulated realized profits of a company, less accumulated realized losses of the company on a standalone basis. In addition, no dividend or distribution may be made unless the net assets of a company are not less than the aggregate of the company’s called up share capital plus undistributable reserves and the distribution does not reduce the company’s net assets below such aggregate. Undistributable reserves include a company’s undenominated capital (effectively its share premium and capital redemption reserve) and the amount by which the company’s accumulated unrealized profits, so far as not previously utilized by any capitalization, exceed the company’s accumulated unrealized losses, so far as not previously written off in a reduction or reorganization of capital. The determination as to whether or not the company has sufficient distributable reserves to fund a dividend must be made by reference to “relevant accounts” of the company. The “relevant accounts” are either the last set of unconsolidated annual audited financial statements or unaudited financial statements prepared in accordance with the Irish Companies Act, which give a “true and fair view” of the company’s unconsolidated financial position in accordance with accepted accounting practice in Ireland. These “relevant accounts” must be filed in the Companies Registration Office (the official public registry for companies in Ireland).</w:t>
      </w:r>
    </w:p>
    <w:p>
      <w:pPr>
        <w:spacing w:after="0" w:line="200" w:lineRule="exact"/>
        <w:rPr>
          <w:sz w:val="20"/>
          <w:szCs w:val="20"/>
          <w:color w:val="auto"/>
        </w:rPr>
      </w:pPr>
    </w:p>
    <w:p>
      <w:pPr>
        <w:spacing w:after="0" w:line="231" w:lineRule="exact"/>
        <w:rPr>
          <w:sz w:val="20"/>
          <w:szCs w:val="20"/>
          <w:color w:val="auto"/>
        </w:rPr>
      </w:pPr>
    </w:p>
    <w:p>
      <w:pPr>
        <w:ind w:right="20" w:firstLine="324"/>
        <w:spacing w:after="0" w:line="287" w:lineRule="auto"/>
        <w:rPr>
          <w:sz w:val="20"/>
          <w:szCs w:val="20"/>
          <w:color w:val="auto"/>
        </w:rPr>
      </w:pPr>
      <w:r>
        <w:rPr>
          <w:rFonts w:ascii="Arial" w:cs="Arial" w:eastAsia="Arial" w:hAnsi="Arial"/>
          <w:sz w:val="19"/>
          <w:szCs w:val="19"/>
          <w:color w:val="auto"/>
        </w:rPr>
        <w:t>The Constitution authorizes the Board to declare such interim dividends as appear justified from the profits of the company without the approval of the shareholders. The dividends can be declared and paid in the form of cash or noncash assets, subject to applicable law. We may pay dividends in any currency. The Board may deduct from any dividend or other moneys payable to any shareholder all sums of money, if any, due from the shareholder to the company in respect of our ordinary shares.</w:t>
      </w:r>
    </w:p>
    <w:p>
      <w:pPr>
        <w:spacing w:after="0" w:line="170" w:lineRule="exact"/>
        <w:rPr>
          <w:sz w:val="20"/>
          <w:szCs w:val="20"/>
          <w:color w:val="auto"/>
        </w:rPr>
      </w:pPr>
    </w:p>
    <w:p>
      <w:pPr>
        <w:ind w:right="20" w:firstLine="324"/>
        <w:spacing w:after="0"/>
        <w:rPr>
          <w:sz w:val="20"/>
          <w:szCs w:val="20"/>
          <w:color w:val="auto"/>
        </w:rPr>
      </w:pPr>
      <w:r>
        <w:rPr>
          <w:rFonts w:ascii="Arial" w:cs="Arial" w:eastAsia="Arial" w:hAnsi="Arial"/>
          <w:sz w:val="22"/>
          <w:szCs w:val="22"/>
          <w:color w:val="auto"/>
        </w:rPr>
        <w:t>We may, by ordinary resolution, declare final dividends to be paid to our shareholders. However, no dividend shall exceed the amount recommended by the board of directors. The board of directors may also pay to the shareholders such dividends as interim or final dividends as appear to the directors to be justified by our profits.</w:t>
      </w:r>
    </w:p>
    <w:p>
      <w:pPr>
        <w:spacing w:after="0" w:line="213" w:lineRule="exact"/>
        <w:rPr>
          <w:sz w:val="20"/>
          <w:szCs w:val="20"/>
          <w:color w:val="auto"/>
        </w:rPr>
      </w:pPr>
    </w:p>
    <w:p>
      <w:pPr>
        <w:ind w:firstLine="324"/>
        <w:spacing w:after="0" w:line="282" w:lineRule="auto"/>
        <w:rPr>
          <w:sz w:val="20"/>
          <w:szCs w:val="20"/>
          <w:color w:val="auto"/>
        </w:rPr>
      </w:pPr>
      <w:r>
        <w:rPr>
          <w:rFonts w:ascii="Arial" w:cs="Arial" w:eastAsia="Arial" w:hAnsi="Arial"/>
          <w:sz w:val="19"/>
          <w:szCs w:val="19"/>
          <w:color w:val="auto"/>
        </w:rPr>
        <w:t>We have never declared or paid any cash dividend, and do not anticipate declaring or paying any cash dividends in the foreseeable future. We intend to retain all available funds and any future earnings to fund the development and expansion of our business. See “Item 3. Key Information—D. Risk Factors—Risks Related to the Ownership of Our Ordinary Shares.” Because there is no present intention to pay dividends on our ordinary shares for the foreseeable future, capital appreciation, if any, will be a shareholder’s sole source of gains and such shareholder may never receive a return on the shareholder’s investment.</w:t>
      </w:r>
    </w:p>
    <w:p>
      <w:pPr>
        <w:spacing w:after="0" w:line="174" w:lineRule="exact"/>
        <w:rPr>
          <w:sz w:val="20"/>
          <w:szCs w:val="20"/>
          <w:color w:val="auto"/>
        </w:rPr>
      </w:pPr>
    </w:p>
    <w:p>
      <w:pPr>
        <w:ind w:right="260" w:firstLine="324"/>
        <w:spacing w:after="0" w:line="238" w:lineRule="auto"/>
        <w:rPr>
          <w:sz w:val="20"/>
          <w:szCs w:val="20"/>
          <w:color w:val="auto"/>
        </w:rPr>
      </w:pPr>
      <w:r>
        <w:rPr>
          <w:rFonts w:ascii="Arial" w:cs="Arial" w:eastAsia="Arial" w:hAnsi="Arial"/>
          <w:sz w:val="22"/>
          <w:szCs w:val="22"/>
          <w:color w:val="auto"/>
        </w:rPr>
        <w:t>Under Irish law, among other things, we may only pay dividends if we have sufficient distributable reserves (on a nonconsolidated basis), which are our accumulated realized profits that have not been previously distributed or capitalized less our accumulated realized losses, so far as such losses have not been previously written off in a reduction or reorganization of capital.</w:t>
      </w:r>
    </w:p>
    <w:p>
      <w:pPr>
        <w:spacing w:after="0" w:line="212" w:lineRule="exact"/>
        <w:rPr>
          <w:sz w:val="20"/>
          <w:szCs w:val="20"/>
          <w:color w:val="auto"/>
        </w:rPr>
      </w:pPr>
    </w:p>
    <w:p>
      <w:pPr>
        <w:ind w:right="240" w:firstLine="324"/>
        <w:spacing w:after="0" w:line="250" w:lineRule="auto"/>
        <w:rPr>
          <w:sz w:val="20"/>
          <w:szCs w:val="20"/>
          <w:color w:val="auto"/>
        </w:rPr>
      </w:pPr>
      <w:r>
        <w:rPr>
          <w:rFonts w:ascii="Arial" w:cs="Arial" w:eastAsia="Arial" w:hAnsi="Arial"/>
          <w:sz w:val="22"/>
          <w:szCs w:val="22"/>
          <w:color w:val="auto"/>
        </w:rPr>
        <w:t>For information about the Irish tax considerations relating to dividend payments, see “Item 10. Additional Information—E. Taxation.”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Liquidation</w:t>
      </w:r>
    </w:p>
    <w:p>
      <w:pPr>
        <w:spacing w:after="0" w:line="233" w:lineRule="exact"/>
        <w:rPr>
          <w:sz w:val="20"/>
          <w:szCs w:val="20"/>
          <w:color w:val="auto"/>
        </w:rPr>
      </w:pPr>
    </w:p>
    <w:p>
      <w:pPr>
        <w:ind w:right="80" w:firstLine="324"/>
        <w:spacing w:after="0" w:line="238" w:lineRule="auto"/>
        <w:rPr>
          <w:sz w:val="20"/>
          <w:szCs w:val="20"/>
          <w:color w:val="auto"/>
        </w:rPr>
      </w:pPr>
      <w:r>
        <w:rPr>
          <w:rFonts w:ascii="Arial" w:cs="Arial" w:eastAsia="Arial" w:hAnsi="Arial"/>
          <w:sz w:val="22"/>
          <w:szCs w:val="22"/>
          <w:color w:val="auto"/>
        </w:rPr>
        <w:t>Our duration will be unlimited. We may be dissolved and wound up at any time by way of a shareholders’ voluntary winding up or a creditors’ winding up. In the case of a shareholders’ voluntary winding up, a special resolution of the shareholders is required. We may also be dissolved by way of court order on the application of a creditor, or by the Companies Registration Office as an enforcement measure in case we fail to file certain returns.</w:t>
      </w:r>
    </w:p>
    <w:p>
      <w:pPr>
        <w:spacing w:after="0" w:line="212" w:lineRule="exact"/>
        <w:rPr>
          <w:sz w:val="20"/>
          <w:szCs w:val="20"/>
          <w:color w:val="auto"/>
        </w:rPr>
      </w:pPr>
    </w:p>
    <w:p>
      <w:pPr>
        <w:ind w:firstLine="324"/>
        <w:spacing w:after="0" w:line="277" w:lineRule="auto"/>
        <w:rPr>
          <w:sz w:val="20"/>
          <w:szCs w:val="20"/>
          <w:color w:val="auto"/>
        </w:rPr>
      </w:pPr>
      <w:r>
        <w:rPr>
          <w:rFonts w:ascii="Arial" w:cs="Arial" w:eastAsia="Arial" w:hAnsi="Arial"/>
          <w:sz w:val="19"/>
          <w:szCs w:val="19"/>
          <w:color w:val="auto"/>
        </w:rPr>
        <w:t>The rights of the shareholders to a return of our assets on dissolution or winding up, following the settlement of all claims of creditors, are prescribed in the Constitution and may be further prescribed in the terms of any preferred shares we issue from time to time. In particular, if we have issued any preferred shares, holders of such preferred shares may have the right to priority in our dissolution or winding up. The Constitution provides that, subject to the priorities of any creditors, the assets will be distributed to the shareholders in proportion to the paid up nominal value of the shares held by such shareholder. The Constitution provides that the shareholders are entitled to participate pro rata in a winding up, but their right to do so is subject to the rights of any holders of the shares issued upon special terms and conditions to participate under the terms of any series or class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0" w:name="page191"/>
    <w:bookmarkEnd w:id="190"/>
    <w:p>
      <w:pPr>
        <w:spacing w:after="0"/>
        <w:rPr>
          <w:sz w:val="20"/>
          <w:szCs w:val="20"/>
          <w:color w:val="auto"/>
        </w:rPr>
      </w:pPr>
      <w:r>
        <w:rPr>
          <w:rFonts w:ascii="Arial" w:cs="Arial" w:eastAsia="Arial" w:hAnsi="Arial"/>
          <w:sz w:val="22"/>
          <w:szCs w:val="22"/>
          <w:b w:val="1"/>
          <w:bCs w:val="1"/>
          <w:i w:val="1"/>
          <w:iCs w:val="1"/>
          <w:color w:val="auto"/>
        </w:rPr>
        <w:t>Preemption Rights</w:t>
      </w:r>
    </w:p>
    <w:p>
      <w:pPr>
        <w:spacing w:after="0" w:line="234" w:lineRule="exact"/>
        <w:rPr>
          <w:sz w:val="20"/>
          <w:szCs w:val="20"/>
          <w:color w:val="auto"/>
        </w:rPr>
      </w:pPr>
    </w:p>
    <w:p>
      <w:pPr>
        <w:ind w:firstLine="324"/>
        <w:spacing w:after="0" w:line="245" w:lineRule="auto"/>
        <w:rPr>
          <w:sz w:val="20"/>
          <w:szCs w:val="20"/>
          <w:color w:val="auto"/>
        </w:rPr>
      </w:pPr>
      <w:r>
        <w:rPr>
          <w:rFonts w:ascii="Arial" w:cs="Arial" w:eastAsia="Arial" w:hAnsi="Arial"/>
          <w:sz w:val="21"/>
          <w:szCs w:val="21"/>
          <w:color w:val="auto"/>
        </w:rPr>
        <w:t>Under Irish law, certain statutory preemption rights apply automatically in favor of shareholders where shares are to be issued for cash. However, we have opted out of these preemption rights in the Constitution as permitted under Irish company law for a period of five years from the date of adoption of the Constitution. Generally, this opt-out is to be renewed at least every five years approved by a special resolution of our shareholders. If the opt-out is not renewed, as a general rule, shares issued for cash must be offered to our existing shareholders on a pro rata basis to their existing shareholding before any of our shares may be issued to any new shareholders. Statutory preemption rights do not apply (i) where shares are issued wholly or partly for noncash consideration (such as in a stock-for-stock acquisition), (ii) to the issue of non-equity shares (that is, shares that have the right to participate only up to a specified amount in any income or capital distribution) or (iii) where shares are issued pursuant to an employee option or similar equity plan.</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Alteration of Share Capital</w:t>
      </w:r>
    </w:p>
    <w:p>
      <w:pPr>
        <w:spacing w:after="0" w:line="233"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21"/>
          <w:szCs w:val="21"/>
          <w:color w:val="auto"/>
        </w:rPr>
        <w:t>Under our Constitution, we may, by ordinary resolution, divide any or all of our share capital into shares of a smaller nominal value than our existing shares (often referred to as a share split) or consolidate any or all of our share capital into shares of larger nominal value than our existing shares (often referred to as a reverse share split).</w:t>
      </w:r>
    </w:p>
    <w:p>
      <w:pPr>
        <w:spacing w:after="0" w:line="196" w:lineRule="exact"/>
        <w:rPr>
          <w:sz w:val="20"/>
          <w:szCs w:val="20"/>
          <w:color w:val="auto"/>
        </w:rPr>
      </w:pPr>
    </w:p>
    <w:p>
      <w:pPr>
        <w:ind w:right="180" w:firstLine="324"/>
        <w:spacing w:after="0" w:line="328" w:lineRule="auto"/>
        <w:rPr>
          <w:sz w:val="20"/>
          <w:szCs w:val="20"/>
          <w:color w:val="auto"/>
        </w:rPr>
      </w:pPr>
      <w:r>
        <w:rPr>
          <w:rFonts w:ascii="Arial" w:cs="Arial" w:eastAsia="Arial" w:hAnsi="Arial"/>
          <w:sz w:val="19"/>
          <w:szCs w:val="19"/>
          <w:color w:val="auto"/>
        </w:rPr>
        <w:t>We may, by ordinary resolution, reduce the authorized but unissued share capital. We may, by special resolution and subject to confirmation by the Irish High Court, reduce the issued share capital and any undenominated share capital.</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Appointment of Directors</w:t>
      </w:r>
    </w:p>
    <w:p>
      <w:pPr>
        <w:spacing w:after="0" w:line="233"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color w:val="auto"/>
        </w:rPr>
        <w:t>The Constitution provides for a minimum of two directors and a maximum of nine directors. Our shareholders may from time to time increase or reduce the maximum number, or increase the minimum number, of directors by ordinary resolution. Our board of directors determines the number of directors within the range of two to nine. Our Constitution does not require directors to retire on account of age.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Proceedings of Directors</w:t>
      </w:r>
    </w:p>
    <w:p>
      <w:pPr>
        <w:spacing w:after="0" w:line="233" w:lineRule="exact"/>
        <w:rPr>
          <w:sz w:val="20"/>
          <w:szCs w:val="20"/>
          <w:color w:val="auto"/>
        </w:rPr>
      </w:pPr>
    </w:p>
    <w:p>
      <w:pPr>
        <w:ind w:right="60" w:firstLine="324"/>
        <w:spacing w:after="0" w:line="279" w:lineRule="auto"/>
        <w:rPr>
          <w:sz w:val="20"/>
          <w:szCs w:val="20"/>
          <w:color w:val="auto"/>
        </w:rPr>
      </w:pPr>
      <w:r>
        <w:rPr>
          <w:rFonts w:ascii="Arial" w:cs="Arial" w:eastAsia="Arial" w:hAnsi="Arial"/>
          <w:sz w:val="19"/>
          <w:szCs w:val="19"/>
          <w:color w:val="auto"/>
        </w:rPr>
        <w:t>Subject to the provisions of our Constitution, our board of directors may regulate their proceedings as they deem appropriate. A director may, and the secretary at the request of a director shall, call a meeting of the directors. The quorum for a meeting of our board of directors shall be fixed from time to time by decision of the board of directors, but it must never be fewer than two directors (or duly appointed alternate directors). Questions and matters requiring resolution arising at a meeting shall be decided by a majority of votes of the participating directors, with each director having one vote. In the case of an equality of votes, the chairperson will have a second or casting vote (unless the chairperson is not entitled to vote on the resolution in question).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Conflicts of Interest</w:t>
      </w:r>
    </w:p>
    <w:p>
      <w:pPr>
        <w:spacing w:after="0" w:line="233" w:lineRule="exact"/>
        <w:rPr>
          <w:sz w:val="20"/>
          <w:szCs w:val="20"/>
          <w:color w:val="auto"/>
        </w:rPr>
      </w:pPr>
    </w:p>
    <w:p>
      <w:pPr>
        <w:ind w:right="160" w:firstLine="324"/>
        <w:spacing w:after="0" w:line="249" w:lineRule="auto"/>
        <w:rPr>
          <w:sz w:val="20"/>
          <w:szCs w:val="20"/>
          <w:color w:val="auto"/>
        </w:rPr>
      </w:pPr>
      <w:r>
        <w:rPr>
          <w:rFonts w:ascii="Arial" w:cs="Arial" w:eastAsia="Arial" w:hAnsi="Arial"/>
          <w:sz w:val="21"/>
          <w:szCs w:val="21"/>
          <w:color w:val="auto"/>
        </w:rPr>
        <w:t>Our directors have certain statutory and fiduciary duties as a matter of Irish law. All of the directors have equal and overall responsibility for management of our company (although directors who also serve as employees may have additional responsibilities and duties arising under their employment agreements (if applicable), and it is likely that more will be expected of them in compliance with their duties than non-executive directors). The Irish Companies Act provides specifically for certain fiduciary duties of the directors of Irish companies, including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1" w:name="page192"/>
    <w:bookmarkEnd w:id="191"/>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act in good faith and in the best interests of the company;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act honestly and responsibly in relation to the company’s affairs;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act in accordance with the company’s constitution and to exercise powers only for lawful purposes;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not to misuse the company’s property, information and/or opportunity;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not to fetter their independent judgment;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avoid conflicts of interest;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exercise care, skill and diligence;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have regard for the interests of the company’s shareholders.</w:t>
      </w:r>
    </w:p>
    <w:p>
      <w:pPr>
        <w:spacing w:after="0" w:line="245"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Other statutory duties of directors include ensuring the maintenance of proper books of account, having annual accounts prepared, having an annual audit performed, maintaining certain registers, making certain filings and disclosing personal interests. Directors of public limited companies such as ourselves will have a specific duty to ensure that the company secretary is a person with the requisite knowledge and experience to discharge the role. Directors may rely on information, opinions, reports or statements, including financial statements and other financial data, prepared or presented by (1) other directors, officers or employees of the company whom the director reasonably believes to be reliable and competent in the matters prepared or presented, (2) legal counsel, public accountants or other persons as to matters the director reasonably believes to be within their professional or expert competence or (3) a committee of the board of which the director does not serve as to matters within its designated authority, which committee the director reasonably believed to merit confidence.</w:t>
      </w:r>
    </w:p>
    <w:p>
      <w:pPr>
        <w:spacing w:after="0" w:line="185" w:lineRule="exact"/>
        <w:rPr>
          <w:sz w:val="20"/>
          <w:szCs w:val="20"/>
          <w:color w:val="auto"/>
        </w:rPr>
      </w:pPr>
    </w:p>
    <w:p>
      <w:pPr>
        <w:jc w:val="both"/>
        <w:ind w:right="160" w:firstLine="324"/>
        <w:spacing w:after="0" w:line="297" w:lineRule="auto"/>
        <w:rPr>
          <w:sz w:val="20"/>
          <w:szCs w:val="20"/>
          <w:color w:val="auto"/>
        </w:rPr>
      </w:pPr>
      <w:r>
        <w:rPr>
          <w:rFonts w:ascii="Arial" w:cs="Arial" w:eastAsia="Arial" w:hAnsi="Arial"/>
          <w:sz w:val="19"/>
          <w:szCs w:val="19"/>
          <w:color w:val="auto"/>
        </w:rPr>
        <w:t>Our Constitution provides that a director shall generally not vote at a meeting of the directors or a committee of directors on any resolution concerning a matter in which he has, directly or indirectly or together with any person or persons connected with him an interest which is material or a duty which conflicts or may conflict with the interests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Directors’ and Officers’ Indemnity</w:t>
      </w:r>
    </w:p>
    <w:p>
      <w:pPr>
        <w:spacing w:after="0" w:line="233" w:lineRule="exact"/>
        <w:rPr>
          <w:sz w:val="20"/>
          <w:szCs w:val="20"/>
          <w:color w:val="auto"/>
        </w:rPr>
      </w:pPr>
    </w:p>
    <w:p>
      <w:pPr>
        <w:ind w:right="20" w:firstLine="324"/>
        <w:spacing w:after="0" w:line="273" w:lineRule="auto"/>
        <w:rPr>
          <w:sz w:val="20"/>
          <w:szCs w:val="20"/>
          <w:color w:val="auto"/>
        </w:rPr>
      </w:pPr>
      <w:r>
        <w:rPr>
          <w:rFonts w:ascii="Arial" w:cs="Arial" w:eastAsia="Arial" w:hAnsi="Arial"/>
          <w:sz w:val="19"/>
          <w:szCs w:val="19"/>
          <w:color w:val="auto"/>
        </w:rPr>
        <w:t>To the fullest extent permitted by Irish law, the Constitution contains indemnification for the benefit of, amongst others, our directors, company secretary and executive officers. However, as to our directors and company secretary, this indemnity is limited by the Irish Companies Act, which prescribes that an advance commitment to indemnify only permits a company to pay the costs or discharge the liability of a director or company secretary where judgment is given in favor of the director or company secretary in any civil or criminal action in respect of such costs or liability, or where an Irish court grants relief because the director or company secretary acted honestly and reasonably and ought fairly to be excused. Any provision whereby an Irish company seeks to commit in advance to indemnify its directors or company secretary over and above the limitations imposed by the Irish Companies Act will be void, whether contained in its Constitution or any contract between the company and the director or company secretary. This restriction does not apply to our executive officers who are not directors, or other persons who would not be considered “officers” within the meaning of the Irish Companies Act.</w:t>
      </w:r>
    </w:p>
    <w:p>
      <w:pPr>
        <w:spacing w:after="0" w:line="188"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color w:val="auto"/>
        </w:rPr>
        <w:t>We are permitted under the Constitution and the Irish Companies Act to take out directors’ and officers’ liability insurance, as well as other types of insurance, for our directors, officers, employees and agents. In order to attract and retain qualified directors and officers, we expect to purchase and maintain customary directors’ and officers’ liability insurance and other types of comparable insurance.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Meetings</w:t>
      </w:r>
    </w:p>
    <w:p>
      <w:pPr>
        <w:spacing w:after="0" w:line="239" w:lineRule="exact"/>
        <w:rPr>
          <w:sz w:val="20"/>
          <w:szCs w:val="20"/>
          <w:color w:val="auto"/>
        </w:rPr>
      </w:pPr>
    </w:p>
    <w:p>
      <w:pPr>
        <w:ind w:right="440" w:firstLine="324"/>
        <w:spacing w:after="0"/>
        <w:rPr>
          <w:sz w:val="20"/>
          <w:szCs w:val="20"/>
          <w:color w:val="auto"/>
        </w:rPr>
      </w:pPr>
      <w:r>
        <w:rPr>
          <w:rFonts w:ascii="Arial" w:cs="Arial" w:eastAsia="Arial" w:hAnsi="Arial"/>
          <w:sz w:val="22"/>
          <w:szCs w:val="22"/>
          <w:color w:val="auto"/>
        </w:rPr>
        <w:t>We are required to hold an annual general meeting within 18 months of incorporation and at intervals of no more than 15 months thereafter, provided that an annual general meeting is held in each calendar year following the first annual general meeting and no more than nine months after our fiscal year-end.</w:t>
      </w:r>
    </w:p>
    <w:p>
      <w:pPr>
        <w:spacing w:after="0" w:line="213" w:lineRule="exact"/>
        <w:rPr>
          <w:sz w:val="20"/>
          <w:szCs w:val="20"/>
          <w:color w:val="auto"/>
        </w:rPr>
      </w:pPr>
    </w:p>
    <w:p>
      <w:pPr>
        <w:ind w:right="220" w:firstLine="324"/>
        <w:spacing w:after="0" w:line="328" w:lineRule="auto"/>
        <w:rPr>
          <w:sz w:val="20"/>
          <w:szCs w:val="20"/>
          <w:color w:val="auto"/>
        </w:rPr>
      </w:pPr>
      <w:r>
        <w:rPr>
          <w:rFonts w:ascii="Arial" w:cs="Arial" w:eastAsia="Arial" w:hAnsi="Arial"/>
          <w:sz w:val="19"/>
          <w:szCs w:val="19"/>
          <w:color w:val="auto"/>
        </w:rPr>
        <w:t>Notice of an annual general meeting must be given to all of our shareholders and to our auditors. The Constitution provides for a minimum notice period for an annual general meeting of 21 days, which is the minimum permitted under Irish law.</w:t>
      </w:r>
    </w:p>
    <w:p>
      <w:pPr>
        <w:spacing w:after="0" w:line="132" w:lineRule="exact"/>
        <w:rPr>
          <w:sz w:val="20"/>
          <w:szCs w:val="20"/>
          <w:color w:val="auto"/>
        </w:rPr>
      </w:pPr>
    </w:p>
    <w:p>
      <w:pPr>
        <w:ind w:right="140" w:firstLine="324"/>
        <w:spacing w:after="0" w:line="236" w:lineRule="auto"/>
        <w:rPr>
          <w:sz w:val="20"/>
          <w:szCs w:val="20"/>
          <w:color w:val="auto"/>
        </w:rPr>
      </w:pPr>
      <w:r>
        <w:rPr>
          <w:rFonts w:ascii="Arial" w:cs="Arial" w:eastAsia="Arial" w:hAnsi="Arial"/>
          <w:sz w:val="22"/>
          <w:szCs w:val="22"/>
          <w:color w:val="auto"/>
        </w:rPr>
        <w:t>Generally speaking, the only matters which must, as a matter of Irish company law, be transacted at an annual general meeting are the presentation of the annual statutory financial statements, balance sheet and reports of the directors and auditors, the appointment of new auditors and the fixing of the auditor’s remuneration (or delegation of same). If no resolution is made in respect of the reappointment of an existing auditor at an annual general meeting, the existing auditor will be deemed to have continued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2" w:name="page193"/>
    <w:bookmarkEnd w:id="192"/>
    <w:p>
      <w:pPr>
        <w:ind w:right="120" w:firstLine="324"/>
        <w:spacing w:after="0" w:line="238" w:lineRule="auto"/>
        <w:rPr>
          <w:sz w:val="20"/>
          <w:szCs w:val="20"/>
          <w:color w:val="auto"/>
        </w:rPr>
      </w:pPr>
      <w:r>
        <w:rPr>
          <w:rFonts w:ascii="Arial" w:cs="Arial" w:eastAsia="Arial" w:hAnsi="Arial"/>
          <w:sz w:val="22"/>
          <w:szCs w:val="22"/>
          <w:color w:val="auto"/>
        </w:rPr>
        <w:t>As provided under Irish law, extraordinary general meetings may be convened (i) by our board of directors, (ii) by request of our shareholders holding not less than 10% of our paid up share capital carrying voting rights for so long as our shares are not admitted to trading on a regulated market in any member state of the European Union, (iii) by request of our statutory auditor in connection with its resignation or (iv) in exceptional cases, by court order.</w:t>
      </w:r>
    </w:p>
    <w:p>
      <w:pPr>
        <w:spacing w:after="0" w:line="212" w:lineRule="exact"/>
        <w:rPr>
          <w:sz w:val="20"/>
          <w:szCs w:val="20"/>
          <w:color w:val="auto"/>
        </w:rPr>
      </w:pPr>
    </w:p>
    <w:p>
      <w:pPr>
        <w:ind w:right="120" w:firstLine="324"/>
        <w:spacing w:after="0" w:line="246" w:lineRule="auto"/>
        <w:rPr>
          <w:sz w:val="20"/>
          <w:szCs w:val="20"/>
          <w:color w:val="auto"/>
        </w:rPr>
      </w:pPr>
      <w:r>
        <w:rPr>
          <w:rFonts w:ascii="Arial" w:cs="Arial" w:eastAsia="Arial" w:hAnsi="Arial"/>
          <w:sz w:val="21"/>
          <w:szCs w:val="21"/>
          <w:color w:val="auto"/>
        </w:rPr>
        <w:t>Notice of an extraordinary general meeting must be given to all our shareholders and to our auditors. Under Irish law and the Constitution, the minimum notice period of 21 days’ prior written notice applies, except that in the case of an extraordinary general meeting, if the company offers facilities to members to vote by electronic means and shareholders have passed a special resolution at the immediately preceding general meeting approving such shortened notice period, an extraordinary general meeting can be called with 14 days’ prior written notice (provided that no special resolutions are proposed to be put to a vote at that meeting). The notice periods prescribed for the convening of general meetings are on the basis of “clear” days, meaning the deemed date of receipt of the notice and the date of the meeting itself are not counted towards the minimum number of days’ notice required.</w:t>
      </w:r>
    </w:p>
    <w:p>
      <w:pPr>
        <w:spacing w:after="0" w:line="207" w:lineRule="exact"/>
        <w:rPr>
          <w:sz w:val="20"/>
          <w:szCs w:val="20"/>
          <w:color w:val="auto"/>
        </w:rPr>
      </w:pPr>
    </w:p>
    <w:p>
      <w:pPr>
        <w:ind w:right="60" w:firstLine="324"/>
        <w:spacing w:after="0" w:line="279" w:lineRule="auto"/>
        <w:rPr>
          <w:sz w:val="20"/>
          <w:szCs w:val="20"/>
          <w:color w:val="auto"/>
        </w:rPr>
      </w:pPr>
      <w:r>
        <w:rPr>
          <w:rFonts w:ascii="Arial" w:cs="Arial" w:eastAsia="Arial" w:hAnsi="Arial"/>
          <w:sz w:val="19"/>
          <w:szCs w:val="19"/>
          <w:color w:val="auto"/>
        </w:rPr>
        <w:t>In the case of an extraordinary general meeting convened by our shareholders, the proposed purpose of the meeting must be set out in the requisition notice. Upon receipt of any such valid requisition notice, the board of directors has 21 days to convene a meeting of our shareholders to vote on the matters set out in the requisition notice. This meeting must be held within two months of the receipt of the requisition notice. If the board of directors does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177" w:lineRule="exact"/>
        <w:rPr>
          <w:sz w:val="20"/>
          <w:szCs w:val="20"/>
          <w:color w:val="auto"/>
        </w:rPr>
      </w:pPr>
    </w:p>
    <w:p>
      <w:pPr>
        <w:ind w:firstLine="324"/>
        <w:spacing w:after="0"/>
        <w:rPr>
          <w:sz w:val="20"/>
          <w:szCs w:val="20"/>
          <w:color w:val="auto"/>
        </w:rPr>
      </w:pPr>
      <w:r>
        <w:rPr>
          <w:rFonts w:ascii="Arial" w:cs="Arial" w:eastAsia="Arial" w:hAnsi="Arial"/>
          <w:sz w:val="22"/>
          <w:szCs w:val="22"/>
          <w:color w:val="auto"/>
        </w:rPr>
        <w:t>If the board of directors becomes aware that our net assets are not greater than half of the amount of our called up share capital, the directors must convene an extraordinary general meeting of shareholders not later than 28 days from the date that they learn of this fact to consider how to address the situation.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Borrowing Powers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1"/>
          <w:szCs w:val="21"/>
          <w:color w:val="auto"/>
        </w:rPr>
        <w:t>Subject to the Constitution and the Irish Companies Act, our board of directors may exercise all of our powers to:</w:t>
      </w:r>
    </w:p>
    <w:p>
      <w:pPr>
        <w:spacing w:after="0" w:line="245" w:lineRule="exact"/>
        <w:rPr>
          <w:sz w:val="20"/>
          <w:szCs w:val="20"/>
          <w:color w:val="auto"/>
        </w:rPr>
      </w:pPr>
    </w:p>
    <w:p>
      <w:pPr>
        <w:ind w:left="640" w:hanging="308"/>
        <w:spacing w:after="0"/>
        <w:tabs>
          <w:tab w:leader="none" w:pos="64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borrow money;</w:t>
      </w:r>
    </w:p>
    <w:p>
      <w:pPr>
        <w:spacing w:after="0" w:line="233" w:lineRule="exact"/>
        <w:rPr>
          <w:rFonts w:ascii="Arial" w:cs="Arial" w:eastAsia="Arial" w:hAnsi="Arial"/>
          <w:sz w:val="22"/>
          <w:szCs w:val="22"/>
          <w:color w:val="auto"/>
        </w:rPr>
      </w:pPr>
    </w:p>
    <w:p>
      <w:pPr>
        <w:ind w:left="700" w:hanging="368"/>
        <w:spacing w:after="0"/>
        <w:tabs>
          <w:tab w:leader="none" w:pos="70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indemnify and guarantee;</w:t>
      </w:r>
    </w:p>
    <w:p>
      <w:pPr>
        <w:spacing w:after="0" w:line="233" w:lineRule="exact"/>
        <w:rPr>
          <w:rFonts w:ascii="Arial" w:cs="Arial" w:eastAsia="Arial" w:hAnsi="Arial"/>
          <w:sz w:val="22"/>
          <w:szCs w:val="22"/>
          <w:color w:val="auto"/>
        </w:rPr>
      </w:pPr>
    </w:p>
    <w:p>
      <w:pPr>
        <w:ind w:left="760" w:hanging="428"/>
        <w:spacing w:after="0"/>
        <w:tabs>
          <w:tab w:leader="none" w:pos="76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mortgage or charge;</w:t>
      </w:r>
    </w:p>
    <w:p>
      <w:pPr>
        <w:spacing w:after="0" w:line="233" w:lineRule="exact"/>
        <w:rPr>
          <w:rFonts w:ascii="Arial" w:cs="Arial" w:eastAsia="Arial" w:hAnsi="Arial"/>
          <w:sz w:val="22"/>
          <w:szCs w:val="22"/>
          <w:color w:val="auto"/>
        </w:rPr>
      </w:pPr>
    </w:p>
    <w:p>
      <w:pPr>
        <w:ind w:left="760" w:hanging="428"/>
        <w:spacing w:after="0"/>
        <w:tabs>
          <w:tab w:leader="none" w:pos="76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create and issue debentures and other securities; and</w:t>
      </w:r>
    </w:p>
    <w:p>
      <w:pPr>
        <w:spacing w:after="0" w:line="233" w:lineRule="exact"/>
        <w:rPr>
          <w:rFonts w:ascii="Arial" w:cs="Arial" w:eastAsia="Arial" w:hAnsi="Arial"/>
          <w:sz w:val="22"/>
          <w:szCs w:val="22"/>
          <w:color w:val="auto"/>
        </w:rPr>
      </w:pPr>
    </w:p>
    <w:p>
      <w:pPr>
        <w:ind w:left="740" w:hanging="408"/>
        <w:spacing w:after="0"/>
        <w:tabs>
          <w:tab w:leader="none" w:pos="74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give security either outright or as collateral security for any of our debt, liability or obligation or any of a third party.</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Uncertificated Shares</w:t>
      </w:r>
    </w:p>
    <w:p>
      <w:pPr>
        <w:spacing w:after="0" w:line="239" w:lineRule="exact"/>
        <w:rPr>
          <w:sz w:val="20"/>
          <w:szCs w:val="20"/>
          <w:color w:val="auto"/>
        </w:rPr>
      </w:pPr>
    </w:p>
    <w:p>
      <w:pPr>
        <w:ind w:right="260" w:firstLine="324"/>
        <w:spacing w:after="0" w:line="238" w:lineRule="auto"/>
        <w:rPr>
          <w:sz w:val="20"/>
          <w:szCs w:val="20"/>
          <w:color w:val="auto"/>
        </w:rPr>
      </w:pPr>
      <w:r>
        <w:rPr>
          <w:rFonts w:ascii="Arial" w:cs="Arial" w:eastAsia="Arial" w:hAnsi="Arial"/>
          <w:sz w:val="22"/>
          <w:szCs w:val="22"/>
          <w:color w:val="auto"/>
        </w:rPr>
        <w:t>Shares in an Irish public limited company such as ours can, in principle, be issued and held either in a so-called certificated (i.e., hard copy share certificates are issued to shareholders) or a so-called uncertificated (i.e., dematerialized) form. All shareholders’ names must be entered into the register of members maintained by an Irish public limited company in order to acquire legal title to the shares.</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To make shares in an Irish public limited company deliverable for trading on an exchange, the shares are required to be issued in uncertificated form.</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 of Constitution</w:t>
      </w:r>
    </w:p>
    <w:p>
      <w:pPr>
        <w:spacing w:after="0" w:line="239" w:lineRule="exact"/>
        <w:rPr>
          <w:sz w:val="20"/>
          <w:szCs w:val="20"/>
          <w:color w:val="auto"/>
        </w:rPr>
      </w:pPr>
    </w:p>
    <w:p>
      <w:pPr>
        <w:ind w:right="560" w:firstLine="324"/>
        <w:spacing w:after="0" w:line="250" w:lineRule="auto"/>
        <w:rPr>
          <w:sz w:val="20"/>
          <w:szCs w:val="20"/>
          <w:color w:val="auto"/>
        </w:rPr>
      </w:pPr>
      <w:r>
        <w:rPr>
          <w:rFonts w:ascii="Arial" w:cs="Arial" w:eastAsia="Arial" w:hAnsi="Arial"/>
          <w:sz w:val="22"/>
          <w:szCs w:val="22"/>
          <w:color w:val="auto"/>
        </w:rPr>
        <w:t>Irish company law requires a special resolution of our shareholders (approval by not less than 75% of the votes cast at a general meeting of our shareholders) to approve any amendments to the Constitution.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3" w:name="page194"/>
    <w:bookmarkEnd w:id="193"/>
    <w:p>
      <w:pPr>
        <w:spacing w:after="0"/>
        <w:rPr>
          <w:sz w:val="20"/>
          <w:szCs w:val="20"/>
          <w:color w:val="auto"/>
        </w:rPr>
      </w:pPr>
      <w:r>
        <w:rPr>
          <w:rFonts w:ascii="Arial" w:cs="Arial" w:eastAsia="Arial" w:hAnsi="Arial"/>
          <w:sz w:val="22"/>
          <w:szCs w:val="22"/>
          <w:b w:val="1"/>
          <w:bCs w:val="1"/>
          <w:color w:val="auto"/>
        </w:rPr>
        <w:t>Anti-Takeover Provisions of Irish Law</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Irish Takeover Rules and Substantial Acquisition Rules</w:t>
      </w:r>
    </w:p>
    <w:p>
      <w:pPr>
        <w:spacing w:after="0" w:line="233" w:lineRule="exact"/>
        <w:rPr>
          <w:sz w:val="20"/>
          <w:szCs w:val="20"/>
          <w:color w:val="auto"/>
        </w:rPr>
      </w:pPr>
    </w:p>
    <w:p>
      <w:pPr>
        <w:ind w:right="120" w:firstLine="324"/>
        <w:spacing w:after="0" w:line="236" w:lineRule="auto"/>
        <w:rPr>
          <w:sz w:val="20"/>
          <w:szCs w:val="20"/>
          <w:color w:val="auto"/>
        </w:rPr>
      </w:pPr>
      <w:r>
        <w:rPr>
          <w:rFonts w:ascii="Arial" w:cs="Arial" w:eastAsia="Arial" w:hAnsi="Arial"/>
          <w:sz w:val="22"/>
          <w:szCs w:val="22"/>
          <w:color w:val="auto"/>
        </w:rPr>
        <w:t>A transaction in which a third party seeks to acquire 30% or more of our voting rights and any other acquisitions of our securities will be governed by the Irish Takeover Panel Act 1997 and the Irish Takeover Rules made thereunder, the Irish Takeover Panel Act, 1997, Takeover Rules, 2013, or the Irish Takeover Rules, and will be regulated by the Irish Takeover Panel. The general principles of the Irish Takeover Rules, or the General Principles, and certain important aspects of the Irish Takeover Rules are described below.</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General Principles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Irish Takeover Rules are built on the following General Principles which will apply to any transaction regulated by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Irish Takeover Panel:</w:t>
      </w:r>
    </w:p>
    <w:p>
      <w:pPr>
        <w:spacing w:after="0" w:line="215" w:lineRule="exact"/>
        <w:rPr>
          <w:sz w:val="20"/>
          <w:szCs w:val="20"/>
          <w:color w:val="auto"/>
        </w:rPr>
      </w:pPr>
    </w:p>
    <w:p>
      <w:pPr>
        <w:ind w:right="300" w:firstLine="332"/>
        <w:spacing w:after="0" w:line="250" w:lineRule="auto"/>
        <w:tabs>
          <w:tab w:leader="none" w:pos="798" w:val="left"/>
        </w:tabs>
        <w:numPr>
          <w:ilvl w:val="0"/>
          <w:numId w:val="135"/>
        </w:numPr>
        <w:rPr>
          <w:rFonts w:ascii="Arial" w:cs="Arial" w:eastAsia="Arial" w:hAnsi="Arial"/>
          <w:sz w:val="22"/>
          <w:szCs w:val="22"/>
          <w:color w:val="auto"/>
        </w:rPr>
      </w:pPr>
      <w:r>
        <w:rPr>
          <w:rFonts w:ascii="Arial" w:cs="Arial" w:eastAsia="Arial" w:hAnsi="Arial"/>
          <w:sz w:val="22"/>
          <w:szCs w:val="22"/>
          <w:color w:val="auto"/>
        </w:rPr>
        <w:t>in the event of an offer, all holders of securities of the target company must be afforded equivalent treatment and, if a person acquires control of a company, the other holders of securities must be protected;</w:t>
      </w:r>
    </w:p>
    <w:p>
      <w:pPr>
        <w:spacing w:after="0" w:line="201" w:lineRule="exact"/>
        <w:rPr>
          <w:rFonts w:ascii="Arial" w:cs="Arial" w:eastAsia="Arial" w:hAnsi="Arial"/>
          <w:sz w:val="22"/>
          <w:szCs w:val="22"/>
          <w:color w:val="auto"/>
        </w:rPr>
      </w:pPr>
    </w:p>
    <w:p>
      <w:pPr>
        <w:ind w:right="60" w:firstLine="332"/>
        <w:spacing w:after="0" w:line="238" w:lineRule="auto"/>
        <w:tabs>
          <w:tab w:leader="none" w:pos="80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holders of securities in the target company must have sufficient time and information to enable them to reach a properly informed decision on the offer; where it advises the holders of securities, the Board of Directors of the target company must give its views on the effects of the implementation of the offer on employment, employment conditions and the locations of the target company’s place of business;</w:t>
      </w:r>
    </w:p>
    <w:p>
      <w:pPr>
        <w:spacing w:after="0" w:line="211" w:lineRule="exact"/>
        <w:rPr>
          <w:rFonts w:ascii="Arial" w:cs="Arial" w:eastAsia="Arial" w:hAnsi="Arial"/>
          <w:sz w:val="22"/>
          <w:szCs w:val="22"/>
          <w:color w:val="auto"/>
        </w:rPr>
      </w:pPr>
    </w:p>
    <w:p>
      <w:pPr>
        <w:ind w:right="620" w:firstLine="332"/>
        <w:spacing w:after="0" w:line="250" w:lineRule="auto"/>
        <w:tabs>
          <w:tab w:leader="none" w:pos="81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 target company’s Board of Directors must act in the interests of that company as a whole and must not deny the holders of securities the opportunity to decide on the merits of the offer;</w:t>
      </w:r>
    </w:p>
    <w:p>
      <w:pPr>
        <w:spacing w:after="0" w:line="201" w:lineRule="exact"/>
        <w:rPr>
          <w:rFonts w:ascii="Arial" w:cs="Arial" w:eastAsia="Arial" w:hAnsi="Arial"/>
          <w:sz w:val="22"/>
          <w:szCs w:val="22"/>
          <w:color w:val="auto"/>
        </w:rPr>
      </w:pPr>
    </w:p>
    <w:p>
      <w:pPr>
        <w:ind w:right="60" w:firstLine="332"/>
        <w:spacing w:after="0"/>
        <w:tabs>
          <w:tab w:leader="none" w:pos="798" w:val="left"/>
        </w:tabs>
        <w:numPr>
          <w:ilvl w:val="0"/>
          <w:numId w:val="135"/>
        </w:numPr>
        <w:rPr>
          <w:rFonts w:ascii="Arial" w:cs="Arial" w:eastAsia="Arial" w:hAnsi="Arial"/>
          <w:sz w:val="22"/>
          <w:szCs w:val="22"/>
          <w:color w:val="auto"/>
        </w:rPr>
      </w:pPr>
      <w:r>
        <w:rPr>
          <w:rFonts w:ascii="Arial" w:cs="Arial" w:eastAsia="Arial" w:hAnsi="Arial"/>
          <w:sz w:val="22"/>
          <w:szCs w:val="22"/>
          <w:color w:val="auto"/>
        </w:rPr>
        <w:t>false markets must not be created in the securities of the target company, the bidder or any other company concerned by the offer in such a way that the rise or fall of the prices of the securities becomes artificial and the normal functioning of the markets is distorted;</w:t>
      </w:r>
    </w:p>
    <w:p>
      <w:pPr>
        <w:spacing w:after="0" w:line="213" w:lineRule="exact"/>
        <w:rPr>
          <w:rFonts w:ascii="Arial" w:cs="Arial" w:eastAsia="Arial" w:hAnsi="Arial"/>
          <w:sz w:val="22"/>
          <w:szCs w:val="22"/>
          <w:color w:val="auto"/>
        </w:rPr>
      </w:pPr>
    </w:p>
    <w:p>
      <w:pPr>
        <w:ind w:right="280" w:firstLine="332"/>
        <w:spacing w:after="0" w:line="328" w:lineRule="auto"/>
        <w:tabs>
          <w:tab w:leader="none" w:pos="792"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 bidder can only announce an offer after ensuring that he or she can fulfill in full the consideration offered, if such is offered, and after taking all reasonable measures to secure the implementation of any other type of consideration;</w:t>
      </w:r>
    </w:p>
    <w:p>
      <w:pPr>
        <w:spacing w:after="0" w:line="131" w:lineRule="exact"/>
        <w:rPr>
          <w:rFonts w:ascii="Arial" w:cs="Arial" w:eastAsia="Arial" w:hAnsi="Arial"/>
          <w:sz w:val="19"/>
          <w:szCs w:val="19"/>
          <w:color w:val="auto"/>
        </w:rPr>
      </w:pPr>
    </w:p>
    <w:p>
      <w:pPr>
        <w:ind w:left="800" w:hanging="468"/>
        <w:spacing w:after="0"/>
        <w:tabs>
          <w:tab w:leader="none" w:pos="80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 target company may not be hindered in the conduct of its affairs longer than is reasonable by an offer for its securities;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215" w:lineRule="exact"/>
        <w:rPr>
          <w:rFonts w:ascii="Arial" w:cs="Arial" w:eastAsia="Arial" w:hAnsi="Arial"/>
          <w:sz w:val="19"/>
          <w:szCs w:val="19"/>
          <w:color w:val="auto"/>
        </w:rPr>
      </w:pPr>
    </w:p>
    <w:p>
      <w:pPr>
        <w:ind w:right="560" w:firstLine="332"/>
        <w:spacing w:after="0" w:line="328" w:lineRule="auto"/>
        <w:tabs>
          <w:tab w:leader="none" w:pos="804"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Transfer of Shares</w:t>
      </w:r>
    </w:p>
    <w:p>
      <w:pPr>
        <w:spacing w:after="0" w:line="233"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Under certain circumstances, a person who acquires shares, or other voting securities, of a company may be required under the Irish Takeover Rules to make a mandatory cash offer for the remaining outstanding voting securities in that company at a price not less than the highest price paid for the securities by the acquiror, or any parties acting in concert with the acquiror, during the previous 12 months. This mandatory bid requirement is triggered if an acquisition of securities would increase the aggregate holding of an acquiror, including the holdings of any parties acting in concert with the acquiror, to securities representing 30% or more of the voting rights in a company, unless the Irish Takeover Panel otherwise consents. An acquisition of securities by a person holding, together with its concert parties, securities representing between 30% and 50% of the voting rights in a company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securities representing more than 50% of the voting rights of a company is not subject to these mandatory offer requirements in purchasing additional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94" w:name="page195"/>
    <w:bookmarkEnd w:id="194"/>
    <w:p>
      <w:pPr>
        <w:spacing w:after="0"/>
        <w:rPr>
          <w:sz w:val="20"/>
          <w:szCs w:val="20"/>
          <w:color w:val="auto"/>
        </w:rPr>
      </w:pPr>
      <w:r>
        <w:rPr>
          <w:rFonts w:ascii="Arial" w:cs="Arial" w:eastAsia="Arial" w:hAnsi="Arial"/>
          <w:sz w:val="22"/>
          <w:szCs w:val="22"/>
          <w:i w:val="1"/>
          <w:iCs w:val="1"/>
          <w:color w:val="auto"/>
        </w:rPr>
        <w:t>Voluntary Bid; Requirements to Make a Cash Offer and Minimum Price Requirement</w:t>
      </w:r>
    </w:p>
    <w:p>
      <w:pPr>
        <w:spacing w:after="0" w:line="234" w:lineRule="exact"/>
        <w:rPr>
          <w:sz w:val="20"/>
          <w:szCs w:val="20"/>
          <w:color w:val="auto"/>
        </w:rPr>
      </w:pPr>
    </w:p>
    <w:p>
      <w:pPr>
        <w:ind w:right="80" w:firstLine="324"/>
        <w:spacing w:after="0" w:line="252" w:lineRule="auto"/>
        <w:rPr>
          <w:sz w:val="20"/>
          <w:szCs w:val="20"/>
          <w:color w:val="auto"/>
        </w:rPr>
      </w:pPr>
      <w:r>
        <w:rPr>
          <w:rFonts w:ascii="Arial" w:cs="Arial" w:eastAsia="Arial" w:hAnsi="Arial"/>
          <w:sz w:val="21"/>
          <w:szCs w:val="21"/>
          <w:color w:val="auto"/>
        </w:rPr>
        <w:t>If a person makes a voluntary offer to acquire our outstanding ordinary shares, the offer price must not be less than the highest price paid for our ordinary shares by the bidder or its concert parties during the three-month period prior to the commencement of the offer period. The Irish Takeover Panel has the power to extend the “look back” period to 12 months if the Irish Takeover Panel, taking into account the General Principles, believes it is appropriate to do so.</w:t>
      </w:r>
    </w:p>
    <w:p>
      <w:pPr>
        <w:spacing w:after="0" w:line="201" w:lineRule="exact"/>
        <w:rPr>
          <w:sz w:val="20"/>
          <w:szCs w:val="20"/>
          <w:color w:val="auto"/>
        </w:rPr>
      </w:pPr>
    </w:p>
    <w:p>
      <w:pPr>
        <w:ind w:right="80" w:firstLine="324"/>
        <w:spacing w:after="0" w:line="246" w:lineRule="auto"/>
        <w:rPr>
          <w:sz w:val="20"/>
          <w:szCs w:val="20"/>
          <w:color w:val="auto"/>
        </w:rPr>
      </w:pPr>
      <w:r>
        <w:rPr>
          <w:rFonts w:ascii="Arial" w:cs="Arial" w:eastAsia="Arial" w:hAnsi="Arial"/>
          <w:sz w:val="21"/>
          <w:szCs w:val="21"/>
          <w:color w:val="auto"/>
        </w:rPr>
        <w:t>If the bidder or any of its concert parties has acquired our ordinary shares (1) during the 12-month period prior to the commencement of the offer period that represent more than 10% of our total ordinary shares or (2) at any time after the commencement of the offer period, the offer must be in cash or accompanied by a full cash alternative and the price per share must not be less than the highest price paid by the bidder or its concert parties during, in the case of clause (1), the 12-month period prior to the commencement of the offer period or, in the case of (2), the offer period. The Irish Takeover Panel may apply this Rule to a bidder who, together with its concert parties, has acquired less than 10% of our total ordinary shares in the 12-month period prior to the commencement of the offer period if the Irish Takeover Panel, taking into account the General Principles, considers it just and proper to do so.</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An offer period will generally commence from the date of the first announcement of the offer or proposed offer.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Substantial Acquisition Rules</w:t>
      </w:r>
    </w:p>
    <w:p>
      <w:pPr>
        <w:spacing w:after="0" w:line="23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9"/>
          <w:szCs w:val="19"/>
          <w:color w:val="auto"/>
        </w:rPr>
        <w:t>The Irish Takeover Rules also contain rules governing substantial acquisitions of shares and other voting securities which restrict the speed at which a person may increase his or her holding of shares and rights over shares to an aggregate of between 15% and 30% of the voting rights of the company. Except in certain circumstances, an acquisition or series of acquisitions of shares or rights over shares representing 10% or more of the voting rights of the company is prohibited, if such acquisition(s), when aggregated with shares or rights already held, would result in the acquirer holding 15% or more but less than 30% of the voting rights of the company and such acquisitions are made within a period of seven days. These rules also require accelerated disclosure of acquisitions of shares or rights over shares relating to such holdings.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Frustrating Action</w:t>
      </w:r>
    </w:p>
    <w:p>
      <w:pPr>
        <w:spacing w:after="0" w:line="233" w:lineRule="exact"/>
        <w:rPr>
          <w:sz w:val="20"/>
          <w:szCs w:val="20"/>
          <w:color w:val="auto"/>
        </w:rPr>
      </w:pPr>
    </w:p>
    <w:p>
      <w:pPr>
        <w:ind w:firstLine="324"/>
        <w:spacing w:after="0" w:line="277" w:lineRule="auto"/>
        <w:rPr>
          <w:sz w:val="20"/>
          <w:szCs w:val="20"/>
          <w:color w:val="auto"/>
        </w:rPr>
      </w:pPr>
      <w:r>
        <w:rPr>
          <w:rFonts w:ascii="Arial" w:cs="Arial" w:eastAsia="Arial" w:hAnsi="Arial"/>
          <w:sz w:val="19"/>
          <w:szCs w:val="19"/>
          <w:color w:val="auto"/>
        </w:rPr>
        <w:t>Under the Irish Takeover Rules, our Board of Directors is not permitted to take any action that might frustrate an offer for our shares once our Board of Directors has received an approach that may lead to an offer or has reason to believe that such an offer is or may be imminent, subject to certain exceptions. Potentially frustrating actions such as (1) the issue of shares, options, restricted share units or convertible securities, (2) material acquisitions or disposals, (3) entering into contracts other than in the ordinary course of business or (4) any action, other than seeking alternative offers, which may result in frustration of an offer, are prohibited during the course of an offer or at any earlier time during which our Board of Directors has reason to believe an offer is or may be imminent. Exceptions to this prohibition are available where:</w:t>
      </w:r>
    </w:p>
    <w:p>
      <w:pPr>
        <w:spacing w:after="0" w:line="179" w:lineRule="exact"/>
        <w:rPr>
          <w:sz w:val="20"/>
          <w:szCs w:val="20"/>
          <w:color w:val="auto"/>
        </w:rPr>
      </w:pPr>
    </w:p>
    <w:p>
      <w:pPr>
        <w:ind w:left="780" w:hanging="448"/>
        <w:spacing w:after="0"/>
        <w:tabs>
          <w:tab w:leader="none" w:pos="78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action is approved by our shareholders at a general meeting; or</w:t>
      </w:r>
    </w:p>
    <w:p>
      <w:pPr>
        <w:spacing w:after="0" w:line="233" w:lineRule="exact"/>
        <w:rPr>
          <w:rFonts w:ascii="Arial" w:cs="Arial" w:eastAsia="Arial" w:hAnsi="Arial"/>
          <w:sz w:val="22"/>
          <w:szCs w:val="22"/>
          <w:color w:val="auto"/>
        </w:rPr>
      </w:pPr>
    </w:p>
    <w:p>
      <w:pPr>
        <w:ind w:left="800" w:hanging="468"/>
        <w:spacing w:after="0"/>
        <w:tabs>
          <w:tab w:leader="none" w:pos="80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Irish Takeover Panel has given its consent, where:</w:t>
      </w:r>
    </w:p>
    <w:p>
      <w:pPr>
        <w:spacing w:after="0" w:line="233" w:lineRule="exact"/>
        <w:rPr>
          <w:rFonts w:ascii="Arial" w:cs="Arial" w:eastAsia="Arial" w:hAnsi="Arial"/>
          <w:sz w:val="22"/>
          <w:szCs w:val="22"/>
          <w:color w:val="auto"/>
        </w:rPr>
      </w:pPr>
    </w:p>
    <w:p>
      <w:pPr>
        <w:ind w:left="1140" w:hanging="484"/>
        <w:spacing w:after="0"/>
        <w:tabs>
          <w:tab w:leader="none" w:pos="114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it is satisfied the action would not constitute frustrating action;</w:t>
      </w:r>
    </w:p>
    <w:p>
      <w:pPr>
        <w:spacing w:after="0" w:line="233" w:lineRule="exact"/>
        <w:rPr>
          <w:rFonts w:ascii="Arial" w:cs="Arial" w:eastAsia="Arial" w:hAnsi="Arial"/>
          <w:sz w:val="22"/>
          <w:szCs w:val="22"/>
          <w:color w:val="auto"/>
        </w:rPr>
      </w:pPr>
    </w:p>
    <w:p>
      <w:pPr>
        <w:ind w:right="160" w:firstLine="656"/>
        <w:spacing w:after="0" w:line="250" w:lineRule="auto"/>
        <w:tabs>
          <w:tab w:leader="none" w:pos="1128" w:val="left"/>
        </w:tabs>
        <w:numPr>
          <w:ilvl w:val="1"/>
          <w:numId w:val="136"/>
        </w:numPr>
        <w:rPr>
          <w:rFonts w:ascii="Arial" w:cs="Arial" w:eastAsia="Arial" w:hAnsi="Arial"/>
          <w:sz w:val="22"/>
          <w:szCs w:val="22"/>
          <w:color w:val="auto"/>
        </w:rPr>
      </w:pPr>
      <w:r>
        <w:rPr>
          <w:rFonts w:ascii="Arial" w:cs="Arial" w:eastAsia="Arial" w:hAnsi="Arial"/>
          <w:sz w:val="22"/>
          <w:szCs w:val="22"/>
          <w:color w:val="auto"/>
        </w:rPr>
        <w:t>our shareholders holding more than 50% of the voting rights state in writing that they approve the proposed action and would vote in favor of it at a general meeting;</w:t>
      </w:r>
    </w:p>
    <w:p>
      <w:pPr>
        <w:spacing w:after="0" w:line="201" w:lineRule="exact"/>
        <w:rPr>
          <w:rFonts w:ascii="Arial" w:cs="Arial" w:eastAsia="Arial" w:hAnsi="Arial"/>
          <w:sz w:val="22"/>
          <w:szCs w:val="22"/>
          <w:color w:val="auto"/>
        </w:rPr>
      </w:pPr>
    </w:p>
    <w:p>
      <w:pPr>
        <w:ind w:right="160" w:firstLine="656"/>
        <w:spacing w:after="0" w:line="250" w:lineRule="auto"/>
        <w:tabs>
          <w:tab w:leader="none" w:pos="1188" w:val="left"/>
        </w:tabs>
        <w:numPr>
          <w:ilvl w:val="1"/>
          <w:numId w:val="136"/>
        </w:numPr>
        <w:rPr>
          <w:rFonts w:ascii="Arial" w:cs="Arial" w:eastAsia="Arial" w:hAnsi="Arial"/>
          <w:sz w:val="22"/>
          <w:szCs w:val="22"/>
          <w:color w:val="auto"/>
        </w:rPr>
      </w:pPr>
      <w:r>
        <w:rPr>
          <w:rFonts w:ascii="Arial" w:cs="Arial" w:eastAsia="Arial" w:hAnsi="Arial"/>
          <w:sz w:val="22"/>
          <w:szCs w:val="22"/>
          <w:color w:val="auto"/>
        </w:rPr>
        <w:t>the action is taken in accordance with a contract entered into prior to the announcement of the offer, or any earlier time at which our Board of Directors considered the offer to be imminent; or</w:t>
      </w:r>
    </w:p>
    <w:p>
      <w:pPr>
        <w:spacing w:after="0" w:line="201" w:lineRule="exact"/>
        <w:rPr>
          <w:rFonts w:ascii="Arial" w:cs="Arial" w:eastAsia="Arial" w:hAnsi="Arial"/>
          <w:sz w:val="22"/>
          <w:szCs w:val="22"/>
          <w:color w:val="auto"/>
        </w:rPr>
      </w:pPr>
    </w:p>
    <w:p>
      <w:pPr>
        <w:ind w:right="700" w:firstLine="656"/>
        <w:spacing w:after="0" w:line="250" w:lineRule="auto"/>
        <w:tabs>
          <w:tab w:leader="none" w:pos="123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the decision to take such action was made before the announcement of the offer and either has been at least partially implemented or is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95" w:name="page196"/>
    <w:bookmarkEnd w:id="195"/>
    <w:p>
      <w:pPr>
        <w:spacing w:after="0"/>
        <w:rPr>
          <w:sz w:val="20"/>
          <w:szCs w:val="20"/>
          <w:color w:val="auto"/>
        </w:rPr>
      </w:pPr>
      <w:r>
        <w:rPr>
          <w:rFonts w:ascii="Arial" w:cs="Arial" w:eastAsia="Arial" w:hAnsi="Arial"/>
          <w:sz w:val="22"/>
          <w:szCs w:val="22"/>
          <w:i w:val="1"/>
          <w:iCs w:val="1"/>
          <w:color w:val="auto"/>
        </w:rPr>
        <w:t>Shareholders’ Rights Plan</w:t>
      </w:r>
    </w:p>
    <w:p>
      <w:pPr>
        <w:spacing w:after="0" w:line="234" w:lineRule="exact"/>
        <w:rPr>
          <w:sz w:val="20"/>
          <w:szCs w:val="20"/>
          <w:color w:val="auto"/>
        </w:rPr>
      </w:pPr>
    </w:p>
    <w:p>
      <w:pPr>
        <w:ind w:right="220" w:firstLine="324"/>
        <w:spacing w:after="0" w:line="282" w:lineRule="auto"/>
        <w:rPr>
          <w:sz w:val="20"/>
          <w:szCs w:val="20"/>
          <w:color w:val="auto"/>
        </w:rPr>
      </w:pPr>
      <w:r>
        <w:rPr>
          <w:rFonts w:ascii="Arial" w:cs="Arial" w:eastAsia="Arial" w:hAnsi="Arial"/>
          <w:sz w:val="19"/>
          <w:szCs w:val="19"/>
          <w:color w:val="auto"/>
        </w:rPr>
        <w:t>Irish law does not expressly authorize or prohibit companies from issuing share purchase rights or adopting a shareholder rights plan as an anti-takeover measure. However, there is no directly relevant case law on the validity of such plans under Irish law. In addition, such a plan would be subject to the Irish Takeover Rules and the General Principles underlying the Irish Takeover Rules. The Constitution allows our Board of Directors to adopt a shareholder rights plan upon such terms and conditions as our Board of Directors deems expedient and in the best interests of us, subject to applicable law.</w:t>
      </w:r>
    </w:p>
    <w:p>
      <w:pPr>
        <w:spacing w:after="0" w:line="174" w:lineRule="exact"/>
        <w:rPr>
          <w:sz w:val="20"/>
          <w:szCs w:val="20"/>
          <w:color w:val="auto"/>
        </w:rPr>
      </w:pPr>
    </w:p>
    <w:p>
      <w:pPr>
        <w:ind w:right="80" w:firstLine="324"/>
        <w:spacing w:after="0" w:line="249" w:lineRule="auto"/>
        <w:rPr>
          <w:sz w:val="20"/>
          <w:szCs w:val="20"/>
          <w:color w:val="auto"/>
        </w:rPr>
      </w:pPr>
      <w:r>
        <w:rPr>
          <w:rFonts w:ascii="Arial" w:cs="Arial" w:eastAsia="Arial" w:hAnsi="Arial"/>
          <w:sz w:val="21"/>
          <w:szCs w:val="21"/>
          <w:color w:val="auto"/>
        </w:rPr>
        <w:t>Subject to the Irish Takeover Rules, our Board of Directors also has power to issue any of our authorized and unissued shares on such terms and conditions as it may determine and any such action should be taken in our best interests. It is possible, however, that the terms and conditions of any issue of preference shares could discourage a takeover or other transaction that holders of some or a majority of the ordinary shares believe to be in their best interests or in which holders might receive a premium for their shares over the then-market price of the shares.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Disclosure of Interests in Shares</w:t>
      </w:r>
    </w:p>
    <w:p>
      <w:pPr>
        <w:spacing w:after="0" w:line="233" w:lineRule="exact"/>
        <w:rPr>
          <w:sz w:val="20"/>
          <w:szCs w:val="20"/>
          <w:color w:val="auto"/>
        </w:rPr>
      </w:pPr>
    </w:p>
    <w:p>
      <w:pPr>
        <w:ind w:right="20" w:firstLine="324"/>
        <w:spacing w:after="0" w:line="244" w:lineRule="auto"/>
        <w:rPr>
          <w:sz w:val="20"/>
          <w:szCs w:val="20"/>
          <w:color w:val="auto"/>
        </w:rPr>
      </w:pPr>
      <w:r>
        <w:rPr>
          <w:rFonts w:ascii="Arial" w:cs="Arial" w:eastAsia="Arial" w:hAnsi="Arial"/>
          <w:sz w:val="21"/>
          <w:szCs w:val="21"/>
          <w:color w:val="auto"/>
        </w:rPr>
        <w:t>Under the Irish Companies Act, our shareholders must notify us if, as a result of a transaction, the shareholder will become interested in 3% or more of our voting shares, or if as a result of a transaction a shareholder who was interested in 3% or more of our voting shares ceases to be so interested. Where a shareholder is interested in 3% or more of our voting shares, the shareholder must notify us of any alteration of his or her interest that brings his or her total holding through the nearest whole percentage number, whether an increase or a reduction. The relevant percentage figure is calculated by reference to the aggregate nominal value of the voting shares in which the shareholder is interested as a proportion of the entire nominal value of our issued share capital (or any such class of share capital in issue). Where the percentage level of the shareholder’s interest does not amount to a whole percentage, this figure may be rounded down to the next whole number. We must be notified within five business days of the transaction or alteration of the shareholder’s interests that gave rise to the notification requirement. If a shareholder fails to comply with these notification requirements, the shareholder’s rights in respect of any of our shares it holds will not be enforceable, either directly or indirectly. However, such person may apply to the court to have the rights attaching to such shares reinstated.</w:t>
      </w:r>
    </w:p>
    <w:p>
      <w:pPr>
        <w:spacing w:after="0" w:line="213" w:lineRule="exact"/>
        <w:rPr>
          <w:sz w:val="20"/>
          <w:szCs w:val="20"/>
          <w:color w:val="auto"/>
        </w:rPr>
      </w:pPr>
    </w:p>
    <w:p>
      <w:pPr>
        <w:ind w:right="20" w:firstLine="324"/>
        <w:spacing w:after="0" w:line="277" w:lineRule="auto"/>
        <w:rPr>
          <w:sz w:val="20"/>
          <w:szCs w:val="20"/>
          <w:color w:val="auto"/>
        </w:rPr>
      </w:pPr>
      <w:r>
        <w:rPr>
          <w:rFonts w:ascii="Arial" w:cs="Arial" w:eastAsia="Arial" w:hAnsi="Arial"/>
          <w:sz w:val="19"/>
          <w:szCs w:val="19"/>
          <w:color w:val="auto"/>
        </w:rPr>
        <w:t>In addition to these disclosure requirements, we, under the Irish Companies Act, may, by notice in writing, require a person whom we know or have reasonable cause to believe to be, or at any time during the three years immediately preceding the date on which such notice is issued to have been, interested in shares comprised in our relevant share capital to (i) indicate whether or not it is the case and (ii) where such person holds or has during that time held an interest in our shares, provide additional information, including the person’s own past or present interests in our shares. If the recipient of the notice fails to respond within the reasonable time period specified in the notice, we may apply to the Irish court for an order directing that the affected shares be subject to certain restrictions, as prescribed by the Irish Companies Act, as follows:</w:t>
      </w:r>
    </w:p>
    <w:p>
      <w:pPr>
        <w:spacing w:after="0" w:line="179" w:lineRule="exact"/>
        <w:rPr>
          <w:sz w:val="20"/>
          <w:szCs w:val="20"/>
          <w:color w:val="auto"/>
        </w:rPr>
      </w:pPr>
    </w:p>
    <w:p>
      <w:pPr>
        <w:ind w:right="360" w:firstLine="656"/>
        <w:spacing w:after="0" w:line="250" w:lineRule="auto"/>
        <w:tabs>
          <w:tab w:leader="none" w:pos="101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any transfer of those shares or, in the case of unissued shares, any transfer of the right to be issued with shares and any issue of shares, shall be void;</w:t>
      </w:r>
    </w:p>
    <w:p>
      <w:pPr>
        <w:spacing w:after="0" w:line="201" w:lineRule="exact"/>
        <w:rPr>
          <w:rFonts w:ascii="Arial" w:cs="Arial" w:eastAsia="Arial" w:hAnsi="Arial"/>
          <w:sz w:val="22"/>
          <w:szCs w:val="22"/>
          <w:color w:val="auto"/>
        </w:rPr>
      </w:pPr>
    </w:p>
    <w:p>
      <w:pPr>
        <w:ind w:left="1080" w:hanging="424"/>
        <w:spacing w:after="0"/>
        <w:tabs>
          <w:tab w:leader="none" w:pos="108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no voting rights shall be exercisable in respect of those shares;</w:t>
      </w:r>
    </w:p>
    <w:p>
      <w:pPr>
        <w:spacing w:after="0" w:line="233" w:lineRule="exact"/>
        <w:rPr>
          <w:rFonts w:ascii="Arial" w:cs="Arial" w:eastAsia="Arial" w:hAnsi="Arial"/>
          <w:sz w:val="22"/>
          <w:szCs w:val="22"/>
          <w:color w:val="auto"/>
        </w:rPr>
      </w:pPr>
    </w:p>
    <w:p>
      <w:pPr>
        <w:ind w:left="1140" w:hanging="484"/>
        <w:spacing w:after="0"/>
        <w:tabs>
          <w:tab w:leader="none" w:pos="114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no further shares shall be issued in right of those shares or in pursuance of any offer made to the holder of those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shares; and</w:t>
      </w:r>
    </w:p>
    <w:p>
      <w:pPr>
        <w:spacing w:after="0" w:line="215" w:lineRule="exact"/>
        <w:rPr>
          <w:rFonts w:ascii="Arial" w:cs="Arial" w:eastAsia="Arial" w:hAnsi="Arial"/>
          <w:sz w:val="19"/>
          <w:szCs w:val="19"/>
          <w:color w:val="auto"/>
        </w:rPr>
      </w:pPr>
    </w:p>
    <w:p>
      <w:pPr>
        <w:ind w:left="1180" w:hanging="524"/>
        <w:spacing w:after="0"/>
        <w:tabs>
          <w:tab w:leader="none" w:pos="118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no payment shall be made of any sums due from us on those shares, whether in respect of capital or otherwise.</w:t>
      </w:r>
    </w:p>
    <w:p>
      <w:pPr>
        <w:spacing w:after="0" w:line="268" w:lineRule="exact"/>
        <w:rPr>
          <w:sz w:val="20"/>
          <w:szCs w:val="20"/>
          <w:color w:val="auto"/>
        </w:rPr>
      </w:pPr>
    </w:p>
    <w:p>
      <w:pPr>
        <w:ind w:right="460" w:firstLine="324"/>
        <w:spacing w:after="0" w:line="250" w:lineRule="auto"/>
        <w:rPr>
          <w:sz w:val="20"/>
          <w:szCs w:val="20"/>
          <w:color w:val="auto"/>
        </w:rPr>
      </w:pPr>
      <w:r>
        <w:rPr>
          <w:rFonts w:ascii="Arial" w:cs="Arial" w:eastAsia="Arial" w:hAnsi="Arial"/>
          <w:sz w:val="22"/>
          <w:szCs w:val="22"/>
          <w:color w:val="auto"/>
        </w:rPr>
        <w:t>The court may also order that shares subject to any of these restrictions be sold with the restrictions terminating upon the completion of the sale.</w:t>
      </w:r>
    </w:p>
    <w:p>
      <w:pPr>
        <w:spacing w:after="0" w:line="202"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In the event we are in an offer period pursuant to the Irish Takeover Rules, accelerated disclosure provisions apply for persons holding an interest in our securities of 1%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6" w:name="page197"/>
    <w:bookmarkEnd w:id="196"/>
    <w:p>
      <w:pPr>
        <w:spacing w:after="0"/>
        <w:rPr>
          <w:sz w:val="20"/>
          <w:szCs w:val="20"/>
          <w:color w:val="auto"/>
        </w:rPr>
      </w:pPr>
      <w:r>
        <w:rPr>
          <w:rFonts w:ascii="Arial" w:cs="Arial" w:eastAsia="Arial" w:hAnsi="Arial"/>
          <w:sz w:val="22"/>
          <w:szCs w:val="22"/>
          <w:b w:val="1"/>
          <w:bCs w:val="1"/>
          <w:color w:val="auto"/>
        </w:rPr>
        <w:t>Comparison of Irish Law and Delaware Law</w:t>
      </w:r>
    </w:p>
    <w:p>
      <w:pPr>
        <w:spacing w:after="0" w:line="240"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As a public limited company incorporated under the laws of Ireland, the rights of our shareholders are governed by applicable Irish law, including the Irish Companies Act, and not by the law of any U.S. state. As a result, our directors and shareholders are subject to different responsibilities, rights and privileges than are applicable to directors and shareholders of U.S. corporations. The applicable provisions of the Irish Companies Act differ from laws applicable to U.S. corporations and their shareholders. Set forth below is a summary of certain differences between the provisions of the Irish Companies Act applicable to us and the General Corporation Law of the State of Delaware relating to shareholders’ rights and protections. The applicable provisions in respect of the Company under the Constitution is also set out where relevant. This summary is not intended to be a complete discussion of the respective rights and it is qualified in its entirety by reference to Delaware law and Irish law. You are also urged to carefully read the relevant provisions of the Delaware General Corporation Law and the Irish Companies Act for a more complete understanding of the differences between Delaware and Irish law.</w:t>
      </w:r>
    </w:p>
    <w:p>
      <w:pPr>
        <w:spacing w:after="0" w:line="200" w:lineRule="exact"/>
        <w:rPr>
          <w:sz w:val="20"/>
          <w:szCs w:val="20"/>
          <w:color w:val="auto"/>
        </w:rPr>
      </w:pPr>
    </w:p>
    <w:p>
      <w:pPr>
        <w:spacing w:after="0" w:line="207" w:lineRule="exact"/>
        <w:rPr>
          <w:sz w:val="20"/>
          <w:szCs w:val="20"/>
          <w:color w:val="auto"/>
        </w:rPr>
      </w:pPr>
    </w:p>
    <w:p>
      <w:pPr>
        <w:ind w:left="5200"/>
        <w:spacing w:after="0"/>
        <w:tabs>
          <w:tab w:leader="none" w:pos="8880" w:val="left"/>
        </w:tabs>
        <w:rPr>
          <w:sz w:val="20"/>
          <w:szCs w:val="20"/>
          <w:color w:val="auto"/>
        </w:rPr>
      </w:pPr>
      <w:r>
        <w:rPr>
          <w:rFonts w:ascii="Arial" w:cs="Arial" w:eastAsia="Arial" w:hAnsi="Arial"/>
          <w:sz w:val="18"/>
          <w:szCs w:val="18"/>
          <w:b w:val="1"/>
          <w:bCs w:val="1"/>
          <w:color w:val="auto"/>
        </w:rPr>
        <w:t>IRELAND</w:t>
      </w:r>
      <w:r>
        <w:rPr>
          <w:sz w:val="20"/>
          <w:szCs w:val="20"/>
          <w:color w:val="auto"/>
        </w:rPr>
        <w:tab/>
      </w:r>
      <w:r>
        <w:rPr>
          <w:rFonts w:ascii="Arial" w:cs="Arial" w:eastAsia="Arial" w:hAnsi="Arial"/>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17145</wp:posOffset>
            </wp:positionV>
            <wp:extent cx="47491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4749165"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p>
      <w:pPr>
        <w:spacing w:after="0" w:line="256"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Number of Directors</w:t>
      </w:r>
      <w:r>
        <w:rPr>
          <w:sz w:val="20"/>
          <w:szCs w:val="20"/>
          <w:color w:val="auto"/>
        </w:rPr>
        <w:tab/>
      </w:r>
      <w:r>
        <w:rPr>
          <w:rFonts w:ascii="Arial" w:cs="Arial" w:eastAsia="Arial" w:hAnsi="Arial"/>
          <w:sz w:val="16"/>
          <w:szCs w:val="16"/>
          <w:color w:val="auto"/>
        </w:rPr>
        <w:t>The Irish Companies Act provides for a minimum</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of two directors. The Constitution provides for a</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minimum of two directors and a maximum of nine.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Our shareholders may from time to time increase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or reduce the maximum number, or increase the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minimum number, of directors by ordinary</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resolution. Our Board of Directors determines the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number of directors within the range of two to</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nine.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 typical certificate of incorporation and bylaws would provide that the number of directors on the board of directors will be fixed from time to time by a vote of the majority of the authorized directors. Under Delaware law, a board of directors can be divided into classes and cumulative voting in the election of directors is only permitted if expressly authorized in a corporation’s certificate of incorporation.</w:t>
      </w:r>
    </w:p>
    <w:p>
      <w:pPr>
        <w:spacing w:after="0" w:line="181" w:lineRule="exact"/>
        <w:rPr>
          <w:sz w:val="20"/>
          <w:szCs w:val="20"/>
          <w:color w:val="auto"/>
        </w:rPr>
      </w:pPr>
    </w:p>
    <w:p>
      <w:pPr>
        <w:sectPr>
          <w:pgSz w:w="11900" w:h="16838" w:orient="portrait"/>
          <w:cols w:equalWidth="0" w:num="2">
            <w:col w:w="7440" w:space="120"/>
            <w:col w:w="3660"/>
          </w:cols>
          <w:pgMar w:left="320" w:top="112" w:right="359" w:bottom="1440" w:gutter="0" w:footer="0" w:header="0"/>
          <w:type w:val="continuous"/>
        </w:sectPr>
      </w:pPr>
    </w:p>
    <w:p>
      <w:pPr>
        <w:spacing w:after="0"/>
        <w:tabs>
          <w:tab w:leader="none" w:pos="3740" w:val="left"/>
        </w:tabs>
        <w:rPr>
          <w:sz w:val="20"/>
          <w:szCs w:val="20"/>
          <w:color w:val="auto"/>
        </w:rPr>
      </w:pPr>
      <w:r>
        <w:rPr>
          <w:rFonts w:ascii="Arial" w:cs="Arial" w:eastAsia="Arial" w:hAnsi="Arial"/>
          <w:sz w:val="18"/>
          <w:szCs w:val="18"/>
          <w:color w:val="auto"/>
        </w:rPr>
        <w:t>Removal of Directors</w:t>
      </w:r>
      <w:r>
        <w:rPr>
          <w:sz w:val="20"/>
          <w:szCs w:val="20"/>
          <w:color w:val="auto"/>
        </w:rPr>
        <w:tab/>
      </w:r>
      <w:r>
        <w:rPr>
          <w:rFonts w:ascii="Arial" w:cs="Arial" w:eastAsia="Arial" w:hAnsi="Arial"/>
          <w:sz w:val="16"/>
          <w:szCs w:val="16"/>
          <w:color w:val="auto"/>
        </w:rPr>
        <w:t>Under the Irish Companies Act, the shareholders</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may, by ordinary resolution, remove a director</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from office before the expiration of his or her term,</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at a meeting held with no less than 28 days’ notice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and at which the director is entitled to be heard.</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Because of this provision of the Irish Companies</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Act, a director may be so removed before the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expiration of his or her period of office.</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The power of removal is without prejudice to any</w:t>
      </w:r>
    </w:p>
    <w:p>
      <w:pPr>
        <w:spacing w:after="0" w:line="3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claim for damages for breach of contract (e.g.,</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employment contract) that the director may have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against the Company in respect of his or her</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removal. The Constitution also provides that the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office of a director will also be vacated if the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director is restricted or disqualified to act as a</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director under the Irish Companies Act; resigns his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or her office by notice in writing to us or in writing</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offers to resign and the directors resolve to accept</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such offer; or is requested to resign in writing by</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not less than 75% of the other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86" w:lineRule="auto"/>
        <w:rPr>
          <w:sz w:val="20"/>
          <w:szCs w:val="20"/>
          <w:color w:val="auto"/>
        </w:rPr>
      </w:pPr>
      <w:r>
        <w:rPr>
          <w:rFonts w:ascii="Arial" w:cs="Arial" w:eastAsia="Arial" w:hAnsi="Arial"/>
          <w:sz w:val="16"/>
          <w:szCs w:val="16"/>
          <w:color w:val="auto"/>
        </w:rPr>
        <w:t>A typical certificate of incorporation and bylaws provide that, subject to the rights of holders of any preferred shares, directors may be removed at any time by the affirmative vote of the holders of at least a majority, or in some instances a supermajority, of the voting power of all of the then outstanding shares entitled to vote generally in the election of directors, voting together as a single class. A certificate of incorporation could also provide that such a right is only exercisable when a director is being removed for cause (removal of a director only for cause is the default rule in the case of a classified board).</w:t>
      </w:r>
    </w:p>
    <w:p>
      <w:pPr>
        <w:sectPr>
          <w:pgSz w:w="11900" w:h="16838" w:orient="portrait"/>
          <w:cols w:equalWidth="0" w:num="2">
            <w:col w:w="7460" w:space="100"/>
            <w:col w:w="3660"/>
          </w:cols>
          <w:pgMar w:left="320" w:top="112" w:right="359" w:bottom="1440" w:gutter="0" w:footer="0" w:header="0"/>
          <w:type w:val="continuous"/>
        </w:sectPr>
      </w:pPr>
    </w:p>
    <w:bookmarkStart w:id="197" w:name="page198"/>
    <w:bookmarkEnd w:id="197"/>
    <w:p>
      <w:pPr>
        <w:ind w:left="5200"/>
        <w:spacing w:after="0"/>
        <w:tabs>
          <w:tab w:leader="none" w:pos="8880" w:val="left"/>
        </w:tabs>
        <w:rPr>
          <w:sz w:val="20"/>
          <w:szCs w:val="20"/>
          <w:color w:val="auto"/>
        </w:rPr>
      </w:pPr>
      <w:r>
        <w:rPr>
          <w:rFonts w:ascii="Arial" w:cs="Arial" w:eastAsia="Arial" w:hAnsi="Arial"/>
          <w:sz w:val="17"/>
          <w:szCs w:val="17"/>
          <w:b w:val="1"/>
          <w:bCs w:val="1"/>
          <w:color w:val="auto"/>
        </w:rPr>
        <w:t>IRELAND</w:t>
      </w:r>
      <w:r>
        <w:rPr>
          <w:sz w:val="20"/>
          <w:szCs w:val="20"/>
          <w:color w:val="auto"/>
        </w:rPr>
        <w:tab/>
      </w: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33020</wp:posOffset>
            </wp:positionV>
            <wp:extent cx="47491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47491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p>
      <w:pPr>
        <w:spacing w:after="0" w:line="281"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Vacancies on the Board of Directors</w:t>
      </w:r>
      <w:r>
        <w:rPr>
          <w:sz w:val="20"/>
          <w:szCs w:val="20"/>
          <w:color w:val="auto"/>
        </w:rPr>
        <w:tab/>
      </w:r>
      <w:r>
        <w:rPr>
          <w:rFonts w:ascii="Arial" w:cs="Arial" w:eastAsia="Arial" w:hAnsi="Arial"/>
          <w:sz w:val="16"/>
          <w:szCs w:val="16"/>
          <w:color w:val="auto"/>
        </w:rPr>
        <w:t>Any vacancy on our Board of Directors, including</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 vacancy resulting from an increase in the number</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of directors or from the death, resignation,</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retirement, disqualification or removal of a</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director, shall be deemed a casual vacancy. Any</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casual vacancy shall only be filled by the decision</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of a majority of our Board of Directors then in</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office, provided that a quorum is present and</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provided that the appointment does not cause the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number of directors to exceed any number fixed by</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or in accordance with the Constitution as the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maximum number of directors.</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Any director elected to fill a vacancy resulting</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from an increase in the number of directors of such</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class shall hold office for the remaining term of</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that class. Any director elected to fill a vacancy not</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resulting from an increase in the number of</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directors shall have the same remaining term as</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that of his predecessor. A director retiring at a</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meeting shall retain office until the close or</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adjournment of the meeting.</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 typical certificate of incorporation and bylaws provide that, subject to the rights of the holders of any preferred shares, any vacancy, whether arising through death, resignation, retirement, disqualification, removal, an increase in the be filled by a majority vote of the remaining directors, even if such directors remaining in office constitute less than a quorum, or by the sole remaining director. Any newly elected director usually holds office for the remainder of the full term expiring at the annual meeting of shareholders at which the term of the class of directors to which the newly elected director has been elected expires.</w:t>
      </w:r>
    </w:p>
    <w:p>
      <w:pPr>
        <w:spacing w:after="0" w:line="1901" w:lineRule="exact"/>
        <w:rPr>
          <w:sz w:val="20"/>
          <w:szCs w:val="20"/>
          <w:color w:val="auto"/>
        </w:rPr>
      </w:pPr>
    </w:p>
    <w:p>
      <w:pPr>
        <w:sectPr>
          <w:pgSz w:w="11900" w:h="16838" w:orient="portrait"/>
          <w:cols w:equalWidth="0" w:num="2">
            <w:col w:w="7460" w:space="100"/>
            <w:col w:w="3640"/>
          </w:cols>
          <w:pgMar w:left="320" w:top="121" w:right="379" w:bottom="1440" w:gutter="0" w:footer="0" w:header="0"/>
          <w:type w:val="continuous"/>
        </w:sectPr>
      </w:pPr>
    </w:p>
    <w:p>
      <w:pPr>
        <w:spacing w:after="0" w:line="11"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Annual General Meeting</w:t>
      </w:r>
      <w:r>
        <w:rPr>
          <w:sz w:val="20"/>
          <w:szCs w:val="20"/>
          <w:color w:val="auto"/>
        </w:rPr>
        <w:tab/>
      </w:r>
      <w:r>
        <w:rPr>
          <w:rFonts w:ascii="Arial" w:cs="Arial" w:eastAsia="Arial" w:hAnsi="Arial"/>
          <w:sz w:val="16"/>
          <w:szCs w:val="16"/>
          <w:color w:val="auto"/>
        </w:rPr>
        <w:t>We are required to hold annual general meetings at</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intervals of no more than 15 months after the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previous annual general meeting, provided that an</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annual general meeting is held in each calendar</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year following our first annual general meeting, no</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more than nine months after our fiscal year-end.</w:t>
      </w:r>
    </w:p>
    <w:p>
      <w:pPr>
        <w:spacing w:after="0" w:line="22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The only matters which must, as a matter of Irish</w:t>
      </w:r>
    </w:p>
    <w:p>
      <w:pPr>
        <w:spacing w:after="0" w:line="46"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company law, be transacted at an annual general</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meeting are the consideration of the Irish statutory</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financial statements, the report of the directors, the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report of the auditors on those statements and that</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report and a review by the members of our affairs.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If no resolution is made in respect of the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reappointment of an auditor at an annual general</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meeting, the previous auditor will be deemed to</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have continued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63" w:lineRule="auto"/>
        <w:rPr>
          <w:sz w:val="20"/>
          <w:szCs w:val="20"/>
          <w:color w:val="auto"/>
        </w:rPr>
      </w:pPr>
      <w:r>
        <w:rPr>
          <w:rFonts w:ascii="Arial" w:cs="Arial" w:eastAsia="Arial" w:hAnsi="Arial"/>
          <w:sz w:val="18"/>
          <w:szCs w:val="18"/>
          <w:color w:val="auto"/>
        </w:rPr>
        <w:t>Typical bylaws provide that annual meetings of shareholders are to be held on a date and at a time fixed by the board of directors.</w:t>
      </w:r>
    </w:p>
    <w:p>
      <w:pPr>
        <w:sectPr>
          <w:pgSz w:w="11900" w:h="16838" w:orient="portrait"/>
          <w:cols w:equalWidth="0" w:num="2">
            <w:col w:w="7420" w:space="140"/>
            <w:col w:w="3640"/>
          </w:cols>
          <w:pgMar w:left="320" w:top="121" w:right="379" w:bottom="1440" w:gutter="0" w:footer="0" w:header="0"/>
          <w:type w:val="continuous"/>
        </w:sectPr>
      </w:pPr>
    </w:p>
    <w:bookmarkStart w:id="198" w:name="page199"/>
    <w:bookmarkEnd w:id="198"/>
    <w:p>
      <w:pPr>
        <w:ind w:left="5200"/>
        <w:spacing w:after="0"/>
        <w:tabs>
          <w:tab w:leader="none" w:pos="8880" w:val="left"/>
        </w:tabs>
        <w:rPr>
          <w:sz w:val="20"/>
          <w:szCs w:val="20"/>
          <w:color w:val="auto"/>
        </w:rPr>
      </w:pPr>
      <w:r>
        <w:rPr>
          <w:rFonts w:ascii="Arial" w:cs="Arial" w:eastAsia="Arial" w:hAnsi="Arial"/>
          <w:sz w:val="17"/>
          <w:szCs w:val="17"/>
          <w:b w:val="1"/>
          <w:bCs w:val="1"/>
          <w:color w:val="auto"/>
        </w:rPr>
        <w:t>IRELAND</w:t>
      </w:r>
      <w:r>
        <w:rPr>
          <w:sz w:val="20"/>
          <w:szCs w:val="20"/>
          <w:color w:val="auto"/>
        </w:rPr>
        <w:tab/>
      </w: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33020</wp:posOffset>
            </wp:positionV>
            <wp:extent cx="47491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47491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81"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General Meeting</w:t>
      </w:r>
      <w:r>
        <w:rPr>
          <w:sz w:val="20"/>
          <w:szCs w:val="20"/>
          <w:color w:val="auto"/>
        </w:rPr>
        <w:tab/>
      </w:r>
      <w:r>
        <w:rPr>
          <w:rFonts w:ascii="Arial" w:cs="Arial" w:eastAsia="Arial" w:hAnsi="Arial"/>
          <w:sz w:val="16"/>
          <w:szCs w:val="16"/>
          <w:color w:val="auto"/>
        </w:rPr>
        <w:t>Our extraordinary general meetings may be</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convened by (i) our Board of Directors, (ii) on</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requisition of shareholders holding not less than</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10% of our paid up share capital carrying voting</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rights or (iii) on requisition of our auditors.</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Extraordinary general meetings are generally held</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for the purposes of approving shareholder</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resolutions as may be required from time to time.</w:t>
      </w:r>
    </w:p>
    <w:p>
      <w:pPr>
        <w:spacing w:after="0" w:line="234"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If our directors become aware that our net assets</w:t>
      </w:r>
    </w:p>
    <w:p>
      <w:pPr>
        <w:spacing w:after="0" w:line="46"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are half or less of the amount of our called up</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share capital, our directors must convene an</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extraordinary general meeting of our shareholders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not later than 28 days from the date that they learn</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of this fact. This meeting must be convened for the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purposes of considering whether any, and if so</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what, measures should be taken to address the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situation.</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Under Delaware law, a special meeting of shareholders may be called by the board of directors or by any other person authorized to do so in the certificate of incorporation or the bylaws.</w:t>
      </w:r>
    </w:p>
    <w:p>
      <w:pPr>
        <w:spacing w:after="0" w:line="3170" w:lineRule="exact"/>
        <w:rPr>
          <w:sz w:val="20"/>
          <w:szCs w:val="20"/>
          <w:color w:val="auto"/>
        </w:rPr>
      </w:pPr>
    </w:p>
    <w:p>
      <w:pPr>
        <w:sectPr>
          <w:pgSz w:w="11900" w:h="16838" w:orient="portrait"/>
          <w:cols w:equalWidth="0" w:num="2">
            <w:col w:w="7420" w:space="140"/>
            <w:col w:w="3680"/>
          </w:cols>
          <w:pgMar w:left="320" w:top="121" w:right="339" w:bottom="1440" w:gutter="0" w:footer="0" w:header="0"/>
          <w:type w:val="continuous"/>
        </w:sectPr>
      </w:pPr>
    </w:p>
    <w:p>
      <w:pPr>
        <w:spacing w:after="0" w:line="11"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Notice of General Meetings</w:t>
      </w:r>
      <w:r>
        <w:rPr>
          <w:sz w:val="20"/>
          <w:szCs w:val="20"/>
          <w:color w:val="auto"/>
        </w:rPr>
        <w:tab/>
      </w:r>
      <w:r>
        <w:rPr>
          <w:rFonts w:ascii="Arial" w:cs="Arial" w:eastAsia="Arial" w:hAnsi="Arial"/>
          <w:sz w:val="16"/>
          <w:szCs w:val="16"/>
          <w:color w:val="auto"/>
        </w:rPr>
        <w:t>Notice of a general meeting must be given to all</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our shareholders and to our auditors. The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Constitution provides that the maximum notice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period is 60 days. The minimum notice periods are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21 days’ notice in writing for an annual general</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meeting or an extraordinary general meeting to</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approve a special resolution and 14 days’ notice in</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writing for any other extraordinary general</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meeting. General meetings may be called by</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shorter notice, but only with the consent of our</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auditors and all of our shareholders entitled to</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attend and vote thereat. Because of the 21-day and</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14-day requirements described in this paragraph,</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the Constitution includes provisions reflecting</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these requirements of Irish law.</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In the case of an extraordinary general meeting</w:t>
      </w:r>
    </w:p>
    <w:p>
      <w:pPr>
        <w:spacing w:after="0" w:line="3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convened by our shareholders, the proposed</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purpose of the meeting must be set out in the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requisition notice. Upon receipt of this requisition</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notice, our Board of Directors has 21 days to</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convene a meeting of our shareholders to vote on</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the matters set out in the requisition notice. This</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meeting must be held within two months of the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receipt of the requisition notice. If our Board of</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Directors does not convene the meeting within</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such 21-day period, the requisitioning</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shareholders, or any of them representing more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than one-half of the total voting rights of all of</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them, may themselves convene a meeting, which</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meeting must be held within three months of the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receipt of the requisition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7"/>
          <w:szCs w:val="17"/>
          <w:color w:val="auto"/>
        </w:rPr>
        <w:t>Under Delaware law, unless otherwise provided in the certificate of incorporation or bylaws, written notice of any meeting of the stockholders must be given to each stockholder entitled to vote at the meeting not less than 10 nor more than 60 days before the date of the meeting and shall specify the place, date, hour and purpose or purposes of the meeting.</w:t>
      </w:r>
    </w:p>
    <w:p>
      <w:pPr>
        <w:sectPr>
          <w:pgSz w:w="11900" w:h="16838" w:orient="portrait"/>
          <w:cols w:equalWidth="0" w:num="2">
            <w:col w:w="7420" w:space="140"/>
            <w:col w:w="3680"/>
          </w:cols>
          <w:pgMar w:left="320" w:top="121" w:right="339" w:bottom="1440" w:gutter="0" w:footer="0" w:header="0"/>
          <w:type w:val="continuous"/>
        </w:sectPr>
      </w:pPr>
    </w:p>
    <w:bookmarkStart w:id="199" w:name="page200"/>
    <w:bookmarkEnd w:id="199"/>
    <w:p>
      <w:pPr>
        <w:ind w:left="5200"/>
        <w:spacing w:after="0"/>
        <w:tabs>
          <w:tab w:leader="none" w:pos="8880" w:val="left"/>
        </w:tabs>
        <w:rPr>
          <w:sz w:val="20"/>
          <w:szCs w:val="20"/>
          <w:color w:val="auto"/>
        </w:rPr>
      </w:pPr>
      <w:r>
        <w:rPr>
          <w:rFonts w:ascii="Arial" w:cs="Arial" w:eastAsia="Arial" w:hAnsi="Arial"/>
          <w:sz w:val="17"/>
          <w:szCs w:val="17"/>
          <w:b w:val="1"/>
          <w:bCs w:val="1"/>
          <w:color w:val="auto"/>
        </w:rPr>
        <w:t>IRELAND</w:t>
      </w:r>
      <w:r>
        <w:rPr>
          <w:sz w:val="20"/>
          <w:szCs w:val="20"/>
          <w:color w:val="auto"/>
        </w:rPr>
        <w:tab/>
      </w: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33020</wp:posOffset>
            </wp:positionV>
            <wp:extent cx="47491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47491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81" w:lineRule="exact"/>
        <w:rPr>
          <w:sz w:val="20"/>
          <w:szCs w:val="20"/>
          <w:color w:val="auto"/>
        </w:rPr>
      </w:pPr>
    </w:p>
    <w:p>
      <w:pPr>
        <w:spacing w:after="0"/>
        <w:tabs>
          <w:tab w:leader="none" w:pos="3740" w:val="left"/>
        </w:tabs>
        <w:rPr>
          <w:sz w:val="20"/>
          <w:szCs w:val="20"/>
          <w:color w:val="auto"/>
        </w:rPr>
      </w:pPr>
      <w:r>
        <w:rPr>
          <w:rFonts w:ascii="Arial" w:cs="Arial" w:eastAsia="Arial" w:hAnsi="Arial"/>
          <w:sz w:val="17"/>
          <w:szCs w:val="17"/>
          <w:color w:val="auto"/>
        </w:rPr>
        <w:t>Quorum</w:t>
      </w:r>
      <w:r>
        <w:rPr>
          <w:sz w:val="20"/>
          <w:szCs w:val="20"/>
          <w:color w:val="auto"/>
        </w:rPr>
        <w:tab/>
      </w:r>
      <w:r>
        <w:rPr>
          <w:rFonts w:ascii="Arial" w:cs="Arial" w:eastAsia="Arial" w:hAnsi="Arial"/>
          <w:sz w:val="17"/>
          <w:szCs w:val="17"/>
          <w:color w:val="auto"/>
        </w:rPr>
        <w:t>The presence, in person or by proxy, of one or</w:t>
      </w:r>
    </w:p>
    <w:p>
      <w:pPr>
        <w:spacing w:after="0" w:line="35"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more persons holding or representing by proxy at</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least 25% of the votes that may be cast at the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relevant time or, at any adjourned meeting of such</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holders, one holder holding or representing by</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proxy at least a majority in nominal value of the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issued shares of the class constitutes a quorum for</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the conduct of business. No business may take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place at a general meeting if a quorum is not</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present in person or by proxy. Our Board of</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Directors has no authority to waive quorum</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requirements stipulated in the Constitution.</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Abstentions and broker non-votes will be counted</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as present for purposes of determining whether</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there is a quorum in respect of the proposals.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Under Delaware law, a corporation’s certificate of incorporation or bylaws can specify the number of shares which constitute the quorum required to conduct business at a meeting, provided that in no event shall a quorum consist of less than one-third of the shares entitled to vote at a meeting.</w:t>
      </w:r>
    </w:p>
    <w:p>
      <w:pPr>
        <w:spacing w:after="0" w:line="2097" w:lineRule="exact"/>
        <w:rPr>
          <w:sz w:val="20"/>
          <w:szCs w:val="20"/>
          <w:color w:val="auto"/>
        </w:rPr>
      </w:pPr>
    </w:p>
    <w:p>
      <w:pPr>
        <w:sectPr>
          <w:pgSz w:w="11900" w:h="16838" w:orient="portrait"/>
          <w:cols w:equalWidth="0" w:num="2">
            <w:col w:w="7380" w:space="180"/>
            <w:col w:w="3660"/>
          </w:cols>
          <w:pgMar w:left="320" w:top="121" w:right="359" w:bottom="1440" w:gutter="0" w:footer="0" w:header="0"/>
          <w:type w:val="continuous"/>
        </w:sectPr>
      </w:pPr>
    </w:p>
    <w:p>
      <w:pPr>
        <w:spacing w:after="0" w:line="11"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Proxy</w:t>
      </w:r>
      <w:r>
        <w:rPr>
          <w:sz w:val="20"/>
          <w:szCs w:val="20"/>
          <w:color w:val="auto"/>
        </w:rPr>
        <w:tab/>
      </w:r>
      <w:r>
        <w:rPr>
          <w:rFonts w:ascii="Arial" w:cs="Arial" w:eastAsia="Arial" w:hAnsi="Arial"/>
          <w:sz w:val="18"/>
          <w:szCs w:val="18"/>
          <w:color w:val="auto"/>
        </w:rPr>
        <w:t>Under Irish law, a shareholder may designate</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another person to attend, speak and vote at a</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general meeting of the company on their behalf by</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proxy, which proxy need not be a shareholder.</w:t>
      </w:r>
    </w:p>
    <w:p>
      <w:pPr>
        <w:spacing w:after="0" w:line="22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Where interests in shares are held by a nominee</w:t>
      </w:r>
    </w:p>
    <w:p>
      <w:pPr>
        <w:spacing w:after="0" w:line="35"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trust company, this company may exercise the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rights of the beneficial holders on their behalf as</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their proxy.</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Voting rights may be exercised by shareholders</w:t>
      </w:r>
    </w:p>
    <w:p>
      <w:pPr>
        <w:spacing w:after="0" w:line="35" w:lineRule="exact"/>
        <w:rPr>
          <w:sz w:val="20"/>
          <w:szCs w:val="20"/>
          <w:color w:val="auto"/>
        </w:rPr>
      </w:pPr>
    </w:p>
    <w:p>
      <w:pPr>
        <w:ind w:left="3760"/>
        <w:spacing w:after="0"/>
        <w:rPr>
          <w:sz w:val="20"/>
          <w:szCs w:val="20"/>
          <w:color w:val="auto"/>
        </w:rPr>
      </w:pPr>
      <w:r>
        <w:rPr>
          <w:rFonts w:ascii="Arial" w:cs="Arial" w:eastAsia="Arial" w:hAnsi="Arial"/>
          <w:sz w:val="15"/>
          <w:szCs w:val="15"/>
          <w:color w:val="auto"/>
        </w:rPr>
        <w:t>registered in the share register as of the record date</w:t>
      </w:r>
    </w:p>
    <w:p>
      <w:pPr>
        <w:spacing w:after="0" w:line="44"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for the meeting or by a duly appointed proxy of</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such a registered shareholder, which proxy need</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not be a shareholder. Where interests in shares are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held by a nominee trust company, this company</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may exercise the rights of the beneficial holders on</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their behalf as their proxy. All proxies must be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appointed in accordance with the Constitution. The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Constitution permits the appointment of proxies by</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our shareholders to be notified to us electronically,</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when permitted by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ectPr>
          <w:pgSz w:w="11900" w:h="16838" w:orient="portrait"/>
          <w:cols w:equalWidth="0" w:num="2">
            <w:col w:w="7440" w:space="120"/>
            <w:col w:w="3660"/>
          </w:cols>
          <w:pgMar w:left="320" w:top="121" w:right="359" w:bottom="1440" w:gutter="0" w:footer="0" w:header="0"/>
          <w:type w:val="continuous"/>
        </w:sectPr>
      </w:pPr>
    </w:p>
    <w:bookmarkStart w:id="200" w:name="page201"/>
    <w:bookmarkEnd w:id="200"/>
    <w:p>
      <w:pPr>
        <w:ind w:left="5200"/>
        <w:spacing w:after="0"/>
        <w:tabs>
          <w:tab w:leader="none" w:pos="8880" w:val="left"/>
        </w:tabs>
        <w:rPr>
          <w:sz w:val="20"/>
          <w:szCs w:val="20"/>
          <w:color w:val="auto"/>
        </w:rPr>
      </w:pPr>
      <w:r>
        <w:rPr>
          <w:rFonts w:ascii="Arial" w:cs="Arial" w:eastAsia="Arial" w:hAnsi="Arial"/>
          <w:sz w:val="17"/>
          <w:szCs w:val="17"/>
          <w:b w:val="1"/>
          <w:bCs w:val="1"/>
          <w:color w:val="auto"/>
        </w:rPr>
        <w:t>IRELAND</w:t>
      </w:r>
      <w:r>
        <w:rPr>
          <w:sz w:val="20"/>
          <w:szCs w:val="20"/>
          <w:color w:val="auto"/>
        </w:rPr>
        <w:tab/>
      </w: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33020</wp:posOffset>
            </wp:positionV>
            <wp:extent cx="47491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47491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81"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Issue of New Shares</w:t>
      </w:r>
      <w:r>
        <w:rPr>
          <w:sz w:val="20"/>
          <w:szCs w:val="20"/>
          <w:color w:val="auto"/>
        </w:rPr>
        <w:tab/>
      </w:r>
      <w:r>
        <w:rPr>
          <w:rFonts w:ascii="Arial" w:cs="Arial" w:eastAsia="Arial" w:hAnsi="Arial"/>
          <w:sz w:val="16"/>
          <w:szCs w:val="16"/>
          <w:color w:val="auto"/>
        </w:rPr>
        <w:t>Under the Constitution, we may issue shares</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subject to the maximum authorized share capital</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contained in the Constitution. The authorized share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capital may be increased or reduced by a resolution</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approved by a simple majority of the votes cast at</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 general meeting of our shareholders, referred to</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under Irish law as an “ordinary resolution.” As a</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matter of Irish law, the directors of a company may</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issue new ordinary shares without shareholder</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approval once authorized to do so by its</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constitution or by an ordinary resolution adopted</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by our shareholders at a general meeting. The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authorization may be granted for a maximum</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period of five years, at which point it may be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renewed by shareholders by an ordinary resolution.</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Accordingly, the Constitution authorizes our Board</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of Directors to issue new ordinary shares without</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shareholder approval for a period of five years</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from the date of the adoption of the Constitution.</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Delaware law, if the company’s certificate of incorporation so provides, the directors have the power to authorize the issuance of additional stock. The directors may authorize capital stock to be issued for consideration consisting of cash, any tangible or intangible property or any benefit to the company or any combination thereof.</w:t>
      </w:r>
    </w:p>
    <w:p>
      <w:pPr>
        <w:spacing w:after="0" w:line="2747" w:lineRule="exact"/>
        <w:rPr>
          <w:sz w:val="20"/>
          <w:szCs w:val="20"/>
          <w:color w:val="auto"/>
        </w:rPr>
      </w:pPr>
    </w:p>
    <w:p>
      <w:pPr>
        <w:sectPr>
          <w:pgSz w:w="11900" w:h="16838" w:orient="portrait"/>
          <w:cols w:equalWidth="0" w:num="2">
            <w:col w:w="7460" w:space="100"/>
            <w:col w:w="3680"/>
          </w:cols>
          <w:pgMar w:left="320" w:top="121" w:right="339" w:bottom="1440" w:gutter="0" w:footer="0" w:header="0"/>
          <w:type w:val="continuous"/>
        </w:sectPr>
      </w:pPr>
    </w:p>
    <w:p>
      <w:pPr>
        <w:spacing w:after="0" w:line="22"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Preemptive Rights</w:t>
      </w:r>
      <w:r>
        <w:rPr>
          <w:sz w:val="20"/>
          <w:szCs w:val="20"/>
          <w:color w:val="auto"/>
        </w:rPr>
        <w:tab/>
      </w:r>
      <w:r>
        <w:rPr>
          <w:rFonts w:ascii="Arial" w:cs="Arial" w:eastAsia="Arial" w:hAnsi="Arial"/>
          <w:sz w:val="16"/>
          <w:szCs w:val="16"/>
          <w:color w:val="auto"/>
        </w:rPr>
        <w:t>Under Irish law, unless otherwise authorized, when</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an Irish public limited company issues shares for</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cash to new shareholders, it is required first to</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offer those shares on the same or more favorable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terms to existing shareholders of the company on a</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pro rata basis, commonly referred to as the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statutory preemption right. However, we have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opted out of these preemption rights in the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Constitution as permitted under Irish law. Because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Irish law permits this opt-out to last for a</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maximum of five years, the Constitution provides</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that this opt-out will lapse five years after the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adoption of the Constitution. Such opt-out may be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renewed by a special resolution of the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shareholders. A special resolution requires not less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than 75% of the votes cast at a general meeting of</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our shareholders. If the opt-out is not renewed,</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shares issued for cash must be offered to our</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preexisting shareholders pro rata before the shares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can be issued to any new shareholders. The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statutory preemption rights do not apply where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shares are issued for noncash consideration and do</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not apply to the issue of non-equity shares (that is,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shares that have the right to participate only up to a</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specified amount in any income or capital</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Under Delaware law, stockholders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7440" w:space="120"/>
            <w:col w:w="3680"/>
          </w:cols>
          <w:pgMar w:left="320" w:top="121" w:right="339" w:bottom="1440" w:gutter="0" w:footer="0" w:header="0"/>
          <w:type w:val="continuous"/>
        </w:sectPr>
      </w:pPr>
    </w:p>
    <w:bookmarkStart w:id="201" w:name="page202"/>
    <w:bookmarkEnd w:id="201"/>
    <w:p>
      <w:pPr>
        <w:ind w:left="5240"/>
        <w:spacing w:after="0"/>
        <w:tabs>
          <w:tab w:leader="none" w:pos="8920" w:val="left"/>
        </w:tabs>
        <w:rPr>
          <w:sz w:val="20"/>
          <w:szCs w:val="20"/>
          <w:color w:val="auto"/>
        </w:rPr>
      </w:pPr>
      <w:r>
        <w:rPr>
          <w:rFonts w:ascii="Arial" w:cs="Arial" w:eastAsia="Arial" w:hAnsi="Arial"/>
          <w:sz w:val="17"/>
          <w:szCs w:val="17"/>
          <w:b w:val="1"/>
          <w:bCs w:val="1"/>
          <w:color w:val="auto"/>
        </w:rPr>
        <w:t>IRELAND</w:t>
      </w:r>
      <w:r>
        <w:rPr>
          <w:sz w:val="20"/>
          <w:szCs w:val="20"/>
          <w:color w:val="auto"/>
        </w:rPr>
        <w:tab/>
      </w: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33020</wp:posOffset>
            </wp:positionV>
            <wp:extent cx="47491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4749165"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p>
      <w:pPr>
        <w:spacing w:after="0" w:line="281"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Authority to Allot</w:t>
      </w:r>
      <w:r>
        <w:rPr>
          <w:sz w:val="20"/>
          <w:szCs w:val="20"/>
          <w:color w:val="auto"/>
        </w:rPr>
        <w:tab/>
      </w:r>
      <w:r>
        <w:rPr>
          <w:rFonts w:ascii="Arial" w:cs="Arial" w:eastAsia="Arial" w:hAnsi="Arial"/>
          <w:sz w:val="16"/>
          <w:szCs w:val="16"/>
          <w:color w:val="auto"/>
        </w:rPr>
        <w:t>Under the Constitution, we may issue shares subject</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to the maximum authorized share capital contained</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in the Constitution. The authorized share capital</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may be increased or reduced by a resolution</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approved by a simple majority of the votes cast at a</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general meeting of our shareholders, referred to</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under Irish law as an “ordinary resolution.” Our</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authorized share capital may be divided into shares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of such nominal value as the resolution shall</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prescribe. As a matter of Irish law, the directors of a</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company may issue new ordinary shares without</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shareholder approval once authorized to do so by its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constitution or by an ordinary resolution adopted by</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our shareholders at a general meeting. The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authorization may be granted for a maximum period</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of five years, at which point it may be renewed by</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shareholders by an ordinary resolution. Accordingly,</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the Constitution authorizes our Board of Directors to</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issue new ordinary shares without shareholder</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approval for a period of five years from the date of</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the adoption of the Constitution.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Delaware law, if the corporation’s charter or certificate of incorporation so provides, the board of directors has the power to authorize the issuance of stock. The board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ectPr>
          <w:pgSz w:w="11900" w:h="16838" w:orient="portrait"/>
          <w:cols w:equalWidth="0" w:num="2">
            <w:col w:w="7560" w:space="120"/>
            <w:col w:w="3480"/>
          </w:cols>
          <w:pgMar w:left="320" w:top="121" w:right="419" w:bottom="1440" w:gutter="0" w:footer="0" w:header="0"/>
          <w:type w:val="continuous"/>
        </w:sectPr>
      </w:pPr>
    </w:p>
    <w:bookmarkStart w:id="202" w:name="page203"/>
    <w:bookmarkEnd w:id="202"/>
    <w:p>
      <w:pPr>
        <w:ind w:left="5240"/>
        <w:spacing w:after="0"/>
        <w:tabs>
          <w:tab w:leader="none" w:pos="8920" w:val="left"/>
        </w:tabs>
        <w:rPr>
          <w:sz w:val="20"/>
          <w:szCs w:val="20"/>
          <w:color w:val="auto"/>
        </w:rPr>
      </w:pPr>
      <w:r>
        <w:rPr>
          <w:rFonts w:ascii="Arial" w:cs="Arial" w:eastAsia="Arial" w:hAnsi="Arial"/>
          <w:sz w:val="17"/>
          <w:szCs w:val="17"/>
          <w:b w:val="1"/>
          <w:bCs w:val="1"/>
          <w:color w:val="auto"/>
        </w:rPr>
        <w:t>IRELAND</w:t>
      </w:r>
      <w:r>
        <w:rPr>
          <w:sz w:val="20"/>
          <w:szCs w:val="20"/>
          <w:color w:val="auto"/>
        </w:rPr>
        <w:tab/>
      </w: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33020</wp:posOffset>
            </wp:positionV>
            <wp:extent cx="47491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47491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p>
      <w:pPr>
        <w:spacing w:after="0" w:line="281"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Acquisition of Own Shares</w:t>
      </w:r>
      <w:r>
        <w:rPr>
          <w:sz w:val="20"/>
          <w:szCs w:val="20"/>
          <w:color w:val="auto"/>
        </w:rPr>
        <w:tab/>
      </w:r>
      <w:r>
        <w:rPr>
          <w:rFonts w:ascii="Arial" w:cs="Arial" w:eastAsia="Arial" w:hAnsi="Arial"/>
          <w:sz w:val="16"/>
          <w:szCs w:val="16"/>
          <w:color w:val="auto"/>
        </w:rPr>
        <w:t>Under Irish law, a company may issue redeemable</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shares and redeem them out of distributable reserves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or the proceeds of a new issue of shares for that</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purpose. All redeemable shares must also be fully</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paid. Redeemable shares may, upon redemption, be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cancelled or held in treasury. The Constitution</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provides that shareholder approval will not be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required to deem any shares redeemable. We may</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also be given an additional general authority by our</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shareholders to purchase our own shares on-market,</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which would take effect on the same terms and be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subject to the same conditions as applicable to</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purchases by our subsidiaries as described below.</w:t>
      </w:r>
    </w:p>
    <w:p>
      <w:pPr>
        <w:spacing w:after="0" w:line="222" w:lineRule="exact"/>
        <w:rPr>
          <w:sz w:val="20"/>
          <w:szCs w:val="20"/>
          <w:color w:val="auto"/>
        </w:rPr>
      </w:pPr>
    </w:p>
    <w:p>
      <w:pPr>
        <w:ind w:left="3760"/>
        <w:spacing w:after="0"/>
        <w:rPr>
          <w:sz w:val="20"/>
          <w:szCs w:val="20"/>
          <w:color w:val="auto"/>
        </w:rPr>
      </w:pPr>
      <w:r>
        <w:rPr>
          <w:rFonts w:ascii="Arial" w:cs="Arial" w:eastAsia="Arial" w:hAnsi="Arial"/>
          <w:sz w:val="15"/>
          <w:szCs w:val="15"/>
          <w:color w:val="auto"/>
        </w:rPr>
        <w:t>Repurchased and redeemed shares may be cancelled</w:t>
      </w:r>
    </w:p>
    <w:p>
      <w:pPr>
        <w:spacing w:after="0" w:line="58"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or held as treasury shares. The nominal value of</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treasury shares that we hold at any time must not</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exceed 10% of the nominal value of our issued share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capital. We may not exercise any voting rights in</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respect of any shares held as treasury shares. We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may either cancel or, subject to certain conditions,</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reissue Treasury shares.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Delaware law, any corporation may purchase or redeem its own shares, except that generally it may not purchase or redeem these shares if the capital of the corporation is impaired at the time or would become impaired as a result of the redemption. A corporation may, however, purchase or redeem out of capital shares that are entitled upon any distribution of its assets to a preference over another class or series of its shares if the shares are to be retired and the capital reduced.</w:t>
      </w:r>
    </w:p>
    <w:p>
      <w:pPr>
        <w:spacing w:after="0" w:line="2537" w:lineRule="exact"/>
        <w:rPr>
          <w:sz w:val="20"/>
          <w:szCs w:val="20"/>
          <w:color w:val="auto"/>
        </w:rPr>
      </w:pPr>
    </w:p>
    <w:p>
      <w:pPr>
        <w:sectPr>
          <w:pgSz w:w="11900" w:h="16838" w:orient="portrait"/>
          <w:cols w:equalWidth="0" w:num="2">
            <w:col w:w="7560" w:space="120"/>
            <w:col w:w="3520"/>
          </w:cols>
          <w:pgMar w:left="320" w:top="121" w:right="379" w:bottom="1440" w:gutter="0" w:footer="0" w:header="0"/>
          <w:type w:val="continuous"/>
        </w:sectPr>
      </w:pPr>
    </w:p>
    <w:p>
      <w:pPr>
        <w:spacing w:after="0" w:line="1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Under Irish law, an Irish or non-Irish subsidiary may</w:t>
      </w:r>
    </w:p>
    <w:p>
      <w:pPr>
        <w:spacing w:after="0" w:line="46"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purchase our shares either on-market or off-market.</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For a subsidiary of ours to make on-market</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purchases of our shares, the shareholders must</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provide general authorization for such purchase by</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way of ordinary resolution. However, as long as this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general authority has been granted, no specific</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shareholder authority for a particular on-market</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purchase by a subsidiary of our shares is required.</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For an off-market purchase by a subsidiary of ours,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the proposed purchase contract must be authorized</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by special resolution of our shareholders before the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contract is entered into. This authority must specify</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the date on which the authority is to expire, which</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shall not be more than 18 months from the date the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special resolution was passed. The person whose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shares of ours are to be bought cannot vote in favor</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of the special resolution and, for at least 21 days</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prior to the special resolution being passed, the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purchase contract must be on display or must be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available for inspection by our shareholders at our</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registered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03" w:name="page204"/>
    <w:bookmarkEnd w:id="203"/>
    <w:p>
      <w:pPr>
        <w:ind w:left="5200"/>
        <w:spacing w:after="0"/>
        <w:tabs>
          <w:tab w:leader="none" w:pos="8880" w:val="left"/>
        </w:tabs>
        <w:rPr>
          <w:sz w:val="20"/>
          <w:szCs w:val="20"/>
          <w:color w:val="auto"/>
        </w:rPr>
      </w:pPr>
      <w:r>
        <w:rPr>
          <w:rFonts w:ascii="Arial" w:cs="Arial" w:eastAsia="Arial" w:hAnsi="Arial"/>
          <w:sz w:val="17"/>
          <w:szCs w:val="17"/>
          <w:b w:val="1"/>
          <w:bCs w:val="1"/>
          <w:color w:val="auto"/>
        </w:rPr>
        <w:t>IRELAND</w:t>
      </w:r>
      <w:r>
        <w:rPr>
          <w:sz w:val="20"/>
          <w:szCs w:val="20"/>
          <w:color w:val="auto"/>
        </w:rPr>
        <w:tab/>
      </w: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33020</wp:posOffset>
            </wp:positionV>
            <wp:extent cx="47491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4749165"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p>
      <w:pPr>
        <w:spacing w:after="0" w:line="281"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Different Classes of Shares</w:t>
      </w:r>
      <w:r>
        <w:rPr>
          <w:sz w:val="20"/>
          <w:szCs w:val="20"/>
          <w:color w:val="auto"/>
        </w:rPr>
        <w:tab/>
      </w:r>
      <w:r>
        <w:rPr>
          <w:rFonts w:ascii="Arial" w:cs="Arial" w:eastAsia="Arial" w:hAnsi="Arial"/>
          <w:sz w:val="16"/>
          <w:szCs w:val="16"/>
          <w:color w:val="auto"/>
        </w:rPr>
        <w:t>Without prejudice to any rights attached to any</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existing shares, We may issue shares with such</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rights or restrictions as we determine by an</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ordinary resolution approved by our shareholders.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As a matter of Irish company law, the directors of</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 company may issue new ordinary shares without</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shareholder approval once authorized to do so by</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the constitution or by an ordinary resolution</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adopted by the shareholders at a general meeting.</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The authorization may be granted for a maximum</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period of five years, at which point it must be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renewed by the shareholders by an ordinary</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resolution (if we wish to issue shares). The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Constitution authorizes our board of directors to</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issue new ordinary shares without shareholder</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approval for a period of five years from the date of</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adoption of such constitution, which is expected to</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be effective as of the completion of the business</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combination. We may also issue shares which are,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or are liable to be, redeemed at the option of us or</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the holder.</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Whenever our share capital is divided into</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different classes of shares, the special rights</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attached to any class may be varied or abrogated</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either with the written consent of the holders of</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75% in nominal value of the issued shares of the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class (excluding shares held as treasury shares) or</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with the sanction of a special resolution passed at a</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separate meeting of the holders of the shares of the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class (but not otherwise), and may be so varied or</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abrogated either while we are a going concern or</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during or in contemplation of a winding up.</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The rights conferred upon the holders of any class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of shares issued with preferred or other rights shall</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not, unless otherwise expressly provided by the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terms of issue of the shares of that class, be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deemed to be varied by our purchase or</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redemption of our own shares or by the creation or</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issue of further shares ranking pari passu therewith</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or subordinate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A company’s Delaware’s certificate of incorporation may authorize the board of directors:</w:t>
      </w:r>
    </w:p>
    <w:p>
      <w:pPr>
        <w:spacing w:after="0" w:line="184" w:lineRule="exact"/>
        <w:rPr>
          <w:sz w:val="20"/>
          <w:szCs w:val="20"/>
          <w:color w:val="auto"/>
        </w:rPr>
      </w:pPr>
    </w:p>
    <w:p>
      <w:pPr>
        <w:ind w:right="160" w:firstLine="8"/>
        <w:spacing w:after="0" w:line="277" w:lineRule="auto"/>
        <w:tabs>
          <w:tab w:leader="none" w:pos="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provide for the issuance of one or more series of preferred stock;</w:t>
      </w:r>
    </w:p>
    <w:p>
      <w:pPr>
        <w:spacing w:after="0" w:line="170" w:lineRule="exact"/>
        <w:rPr>
          <w:rFonts w:ascii="Arial" w:cs="Arial" w:eastAsia="Arial" w:hAnsi="Arial"/>
          <w:sz w:val="18"/>
          <w:szCs w:val="18"/>
          <w:color w:val="auto"/>
        </w:rPr>
      </w:pPr>
    </w:p>
    <w:p>
      <w:pPr>
        <w:ind w:firstLine="8"/>
        <w:spacing w:after="0" w:line="308" w:lineRule="auto"/>
        <w:tabs>
          <w:tab w:leader="none" w:pos="3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to establish from time to time the number of shares to be included in such series; and</w:t>
      </w:r>
    </w:p>
    <w:p>
      <w:pPr>
        <w:spacing w:after="0" w:line="146" w:lineRule="exact"/>
        <w:rPr>
          <w:rFonts w:ascii="Arial" w:cs="Arial" w:eastAsia="Arial" w:hAnsi="Arial"/>
          <w:sz w:val="17"/>
          <w:szCs w:val="17"/>
          <w:color w:val="auto"/>
        </w:rPr>
      </w:pPr>
    </w:p>
    <w:p>
      <w:pPr>
        <w:ind w:right="140" w:firstLine="8"/>
        <w:spacing w:after="0" w:line="279" w:lineRule="auto"/>
        <w:tabs>
          <w:tab w:leader="none" w:pos="3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to fix the designations, preferences and relative, participating, optional or other special rights, and qualifications, limitations or restrictions of each such series.</w:t>
      </w:r>
    </w:p>
    <w:p>
      <w:pPr>
        <w:sectPr>
          <w:pgSz w:w="11900" w:h="16838" w:orient="portrait"/>
          <w:cols w:equalWidth="0" w:num="2">
            <w:col w:w="7440" w:space="120"/>
            <w:col w:w="3520"/>
          </w:cols>
          <w:pgMar w:left="320" w:top="121" w:right="499" w:bottom="1440" w:gutter="0" w:footer="0" w:header="0"/>
          <w:type w:val="continuous"/>
        </w:sectPr>
      </w:pPr>
    </w:p>
    <w:bookmarkStart w:id="204" w:name="page205"/>
    <w:bookmarkEnd w:id="204"/>
    <w:p>
      <w:pPr>
        <w:ind w:left="5200"/>
        <w:spacing w:after="0"/>
        <w:tabs>
          <w:tab w:leader="none" w:pos="8880" w:val="left"/>
        </w:tabs>
        <w:rPr>
          <w:sz w:val="20"/>
          <w:szCs w:val="20"/>
          <w:color w:val="auto"/>
        </w:rPr>
      </w:pPr>
      <w:r>
        <w:rPr>
          <w:rFonts w:ascii="Arial" w:cs="Arial" w:eastAsia="Arial" w:hAnsi="Arial"/>
          <w:sz w:val="17"/>
          <w:szCs w:val="17"/>
          <w:b w:val="1"/>
          <w:bCs w:val="1"/>
          <w:color w:val="auto"/>
        </w:rPr>
        <w:t>IRELAND</w:t>
      </w:r>
      <w:r>
        <w:rPr>
          <w:sz w:val="20"/>
          <w:szCs w:val="20"/>
          <w:color w:val="auto"/>
        </w:rPr>
        <w:tab/>
      </w: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33020</wp:posOffset>
            </wp:positionV>
            <wp:extent cx="47491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47491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81" w:lineRule="exact"/>
        <w:rPr>
          <w:sz w:val="20"/>
          <w:szCs w:val="20"/>
          <w:color w:val="auto"/>
        </w:rPr>
      </w:pPr>
    </w:p>
    <w:p>
      <w:pPr>
        <w:spacing w:after="0"/>
        <w:tabs>
          <w:tab w:leader="none" w:pos="3740" w:val="left"/>
        </w:tabs>
        <w:rPr>
          <w:sz w:val="20"/>
          <w:szCs w:val="20"/>
          <w:color w:val="auto"/>
        </w:rPr>
      </w:pPr>
      <w:r>
        <w:rPr>
          <w:rFonts w:ascii="Arial" w:cs="Arial" w:eastAsia="Arial" w:hAnsi="Arial"/>
          <w:sz w:val="17"/>
          <w:szCs w:val="17"/>
          <w:color w:val="auto"/>
        </w:rPr>
        <w:t>Dividends</w:t>
      </w:r>
      <w:r>
        <w:rPr>
          <w:sz w:val="20"/>
          <w:szCs w:val="20"/>
          <w:color w:val="auto"/>
        </w:rPr>
        <w:tab/>
      </w:r>
      <w:r>
        <w:rPr>
          <w:rFonts w:ascii="Arial" w:cs="Arial" w:eastAsia="Arial" w:hAnsi="Arial"/>
          <w:sz w:val="17"/>
          <w:szCs w:val="17"/>
          <w:color w:val="auto"/>
        </w:rPr>
        <w:t>Under Irish law, dividends and distributions may</w:t>
      </w:r>
    </w:p>
    <w:p>
      <w:pPr>
        <w:spacing w:after="0" w:line="35"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only be made from distributable reserves which</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are, generally, a company’s accumulated realized</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profits less its accumulated realized losses. In</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addition, no distribution or dividend may be made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if our net assets are not, or if making such</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distribution or dividend will cause our net assets to</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not be, equal to, or in excess of, the aggregate of</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our called up share capital plus undistributable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reserves.</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Undistributable reserves include the company’s</w:t>
      </w:r>
    </w:p>
    <w:p>
      <w:pPr>
        <w:spacing w:after="0" w:line="35"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undenominated capital and the amount by which a</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company’s accumulated unrealized profits exceeds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its accumulated unrealized losses. The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determination as to whether or not we have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sufficient distributable reserves to fund a dividend</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must be made by reference to our most recent</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unconsolidated annual audited financial statements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or other financial statements properly prepared in</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accordance with the Irish Companies Act. The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relevant financial statements must be filed in the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Companies Registration Office (the official public</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registry for companies in Ireland).</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The Constitution authorizes our board of directors</w:t>
      </w:r>
    </w:p>
    <w:p>
      <w:pPr>
        <w:spacing w:after="0" w:line="46"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to declare an interim dividend without shareholder</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approval to the extent they appear justified by</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profits. Our board of directors may also</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recommend a dividend to be approved and</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declared by the shareholders at a general meeting,</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provided that no dividend issued may exceed the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amount recommended by the directors.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Under Delaware law, subject to any restriction in the corporation’s certificate of incorporation, the Board may declare and pay dividends out of:</w:t>
      </w:r>
    </w:p>
    <w:p>
      <w:pPr>
        <w:spacing w:after="0" w:line="149" w:lineRule="exact"/>
        <w:rPr>
          <w:sz w:val="20"/>
          <w:szCs w:val="20"/>
          <w:color w:val="auto"/>
        </w:rPr>
      </w:pPr>
    </w:p>
    <w:p>
      <w:pPr>
        <w:ind w:right="20" w:firstLine="8"/>
        <w:spacing w:after="0" w:line="308" w:lineRule="auto"/>
        <w:tabs>
          <w:tab w:leader="none" w:pos="3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surplus of the corporation, which is defined as net assets less statutory capital; or</w:t>
      </w:r>
    </w:p>
    <w:p>
      <w:pPr>
        <w:spacing w:after="0" w:line="146" w:lineRule="exact"/>
        <w:rPr>
          <w:rFonts w:ascii="Arial" w:cs="Arial" w:eastAsia="Arial" w:hAnsi="Arial"/>
          <w:sz w:val="17"/>
          <w:szCs w:val="17"/>
          <w:color w:val="auto"/>
        </w:rPr>
      </w:pPr>
    </w:p>
    <w:p>
      <w:pPr>
        <w:ind w:right="80" w:firstLine="8"/>
        <w:spacing w:after="0" w:line="286" w:lineRule="auto"/>
        <w:tabs>
          <w:tab w:leader="none" w:pos="3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if no surplus exists, out of the net profits of the corporation for the year in which the dividend is declared and/or the preceding year;</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provided, however, that if the capital of the corporation has been diminished to an amount less than the aggregate amount of capital represented by the issued and outstanding stock of all classes having preference upon the distribution of assets, the Board may not declare and pay dividends out of the corporation’s net profits until the deficiency in the capital has been repaired.</w:t>
      </w:r>
    </w:p>
    <w:p>
      <w:pPr>
        <w:spacing w:after="0" w:line="3178" w:lineRule="exact"/>
        <w:rPr>
          <w:sz w:val="20"/>
          <w:szCs w:val="20"/>
          <w:color w:val="auto"/>
        </w:rPr>
      </w:pPr>
    </w:p>
    <w:p>
      <w:pPr>
        <w:sectPr>
          <w:pgSz w:w="11900" w:h="16838" w:orient="portrait"/>
          <w:cols w:equalWidth="0" w:num="2">
            <w:col w:w="7420" w:space="140"/>
            <w:col w:w="3660"/>
          </w:cols>
          <w:pgMar w:left="320" w:top="121" w:right="359" w:bottom="1440" w:gutter="0" w:footer="0" w:header="0"/>
          <w:type w:val="continuous"/>
        </w:sectPr>
      </w:pPr>
    </w:p>
    <w:p>
      <w:pPr>
        <w:spacing w:after="0" w:line="11"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General Provisions Governing a</w:t>
      </w:r>
      <w:r>
        <w:rPr>
          <w:sz w:val="20"/>
          <w:szCs w:val="20"/>
          <w:color w:val="auto"/>
        </w:rPr>
        <w:tab/>
      </w:r>
      <w:r>
        <w:rPr>
          <w:rFonts w:ascii="Arial" w:cs="Arial" w:eastAsia="Arial" w:hAnsi="Arial"/>
          <w:sz w:val="16"/>
          <w:szCs w:val="16"/>
          <w:color w:val="auto"/>
        </w:rPr>
        <w:t>Our duration will be unlimited. We may be</w:t>
      </w:r>
    </w:p>
    <w:p>
      <w:pPr>
        <w:spacing w:after="0" w:line="23"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Liquidation; Liquidation</w:t>
      </w:r>
      <w:r>
        <w:rPr>
          <w:sz w:val="20"/>
          <w:szCs w:val="20"/>
          <w:color w:val="auto"/>
        </w:rPr>
        <w:tab/>
      </w:r>
      <w:r>
        <w:rPr>
          <w:rFonts w:ascii="Arial" w:cs="Arial" w:eastAsia="Arial" w:hAnsi="Arial"/>
          <w:sz w:val="16"/>
          <w:szCs w:val="16"/>
          <w:color w:val="auto"/>
        </w:rPr>
        <w:t>dissolved and wound up at any time by way of a</w:t>
      </w:r>
    </w:p>
    <w:p>
      <w:pPr>
        <w:spacing w:after="0" w:line="9" w:lineRule="exact"/>
        <w:rPr>
          <w:sz w:val="20"/>
          <w:szCs w:val="20"/>
          <w:color w:val="auto"/>
        </w:rPr>
      </w:pPr>
    </w:p>
    <w:p>
      <w:pPr>
        <w:spacing w:after="0"/>
        <w:tabs>
          <w:tab w:leader="none" w:pos="3740" w:val="left"/>
        </w:tabs>
        <w:rPr>
          <w:sz w:val="20"/>
          <w:szCs w:val="20"/>
          <w:color w:val="auto"/>
        </w:rPr>
      </w:pPr>
      <w:r>
        <w:rPr>
          <w:rFonts w:ascii="Arial" w:cs="Arial" w:eastAsia="Arial" w:hAnsi="Arial"/>
          <w:sz w:val="16"/>
          <w:szCs w:val="16"/>
          <w:color w:val="auto"/>
        </w:rPr>
        <w:t>Distributions</w:t>
      </w:r>
      <w:r>
        <w:rPr>
          <w:sz w:val="20"/>
          <w:szCs w:val="20"/>
          <w:color w:val="auto"/>
        </w:rPr>
        <w:tab/>
      </w:r>
      <w:r>
        <w:rPr>
          <w:rFonts w:ascii="Arial" w:cs="Arial" w:eastAsia="Arial" w:hAnsi="Arial"/>
          <w:sz w:val="16"/>
          <w:szCs w:val="16"/>
          <w:color w:val="auto"/>
        </w:rPr>
        <w:t>shareholders’ voluntary winding up or a creditors’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winding up. In the case of a shareholders’</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voluntary winding up, a special resolution of our</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shareholders is required. We may also be dissolved</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by way of court order on the application of a</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creditor, or by the Companies Registration Office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as an enforcement measure where we have failed</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to file certain returns.</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The rights of the shareholders to a return of our</w:t>
      </w:r>
    </w:p>
    <w:p>
      <w:pPr>
        <w:spacing w:after="0" w:line="35"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assets on dissolution or winding up, following the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settlement of all claims of creditors, are prescribed</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in the Constitution.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8"/>
          <w:szCs w:val="18"/>
          <w:color w:val="auto"/>
        </w:rPr>
        <w:t>Upon the dissolution of a Delaware corporation, after satisfaction of the claims of creditors, the assets of that corporation would be distributed to stockholders in accordance with their respective interests, including any rights a holder of shares of preference shares may have to preferred distributions upon dissolution or liquidation of the corporation.</w:t>
      </w:r>
    </w:p>
    <w:p>
      <w:pPr>
        <w:sectPr>
          <w:pgSz w:w="11900" w:h="16838" w:orient="portrait"/>
          <w:cols w:equalWidth="0" w:num="2">
            <w:col w:w="7440" w:space="120"/>
            <w:col w:w="3660"/>
          </w:cols>
          <w:pgMar w:left="320" w:top="121" w:right="359" w:bottom="1440" w:gutter="0" w:footer="0" w:header="0"/>
          <w:type w:val="continuous"/>
        </w:sectPr>
      </w:pPr>
    </w:p>
    <w:bookmarkStart w:id="205" w:name="page206"/>
    <w:bookmarkEnd w:id="205"/>
    <w:tbl>
      <w:tblPr>
        <w:tblLayout w:type="fixed"/>
        <w:tblInd w:w="0" w:type="dxa"/>
        <w:tblCellMar>
          <w:top w:w="0" w:type="dxa"/>
          <w:left w:w="0" w:type="dxa"/>
          <w:bottom w:w="0" w:type="dxa"/>
          <w:right w:w="0" w:type="dxa"/>
        </w:tblCellMar>
      </w:tblPr>
      <w:tr>
        <w:trPr>
          <w:trHeight w:val="255"/>
        </w:trPr>
        <w:tc>
          <w:tcPr>
            <w:tcW w:w="3760" w:type="dxa"/>
            <w:vAlign w:val="bottom"/>
          </w:tcPr>
          <w:p>
            <w:pPr>
              <w:spacing w:after="0"/>
              <w:rPr>
                <w:sz w:val="22"/>
                <w:szCs w:val="22"/>
                <w:color w:val="auto"/>
              </w:rPr>
            </w:pPr>
          </w:p>
        </w:tc>
        <w:tc>
          <w:tcPr>
            <w:tcW w:w="380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IRELAND</w:t>
            </w:r>
          </w:p>
        </w:tc>
      </w:tr>
      <w:tr>
        <w:trPr>
          <w:trHeight w:val="418"/>
        </w:trPr>
        <w:tc>
          <w:tcPr>
            <w:tcW w:w="3760" w:type="dxa"/>
            <w:vAlign w:val="bottom"/>
          </w:tcPr>
          <w:p>
            <w:pPr>
              <w:spacing w:after="0"/>
              <w:rPr>
                <w:sz w:val="20"/>
                <w:szCs w:val="20"/>
                <w:color w:val="auto"/>
              </w:rPr>
            </w:pPr>
            <w:r>
              <w:rPr>
                <w:rFonts w:ascii="Arial" w:cs="Arial" w:eastAsia="Arial" w:hAnsi="Arial"/>
                <w:sz w:val="18"/>
                <w:szCs w:val="18"/>
                <w:color w:val="auto"/>
              </w:rPr>
              <w:t>Amendment of Constitution</w:t>
            </w:r>
          </w:p>
        </w:tc>
        <w:tc>
          <w:tcPr>
            <w:tcW w:w="3800" w:type="dxa"/>
            <w:vAlign w:val="bottom"/>
          </w:tcPr>
          <w:p>
            <w:pPr>
              <w:spacing w:after="0"/>
              <w:rPr>
                <w:sz w:val="20"/>
                <w:szCs w:val="20"/>
                <w:color w:val="auto"/>
              </w:rPr>
            </w:pPr>
            <w:r>
              <w:rPr>
                <w:rFonts w:ascii="Arial" w:cs="Arial" w:eastAsia="Arial" w:hAnsi="Arial"/>
                <w:sz w:val="18"/>
                <w:szCs w:val="18"/>
                <w:color w:val="auto"/>
                <w:w w:val="96"/>
              </w:rPr>
              <w:t>Irish company law requires a special resolution of</w:t>
            </w:r>
          </w:p>
        </w:tc>
      </w:tr>
      <w:tr>
        <w:trPr>
          <w:trHeight w:val="216"/>
        </w:trPr>
        <w:tc>
          <w:tcPr>
            <w:tcW w:w="37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2"/>
              </w:rPr>
              <w:t>our shareholders (approval by not less than 75% of</w:t>
            </w:r>
          </w:p>
        </w:tc>
      </w:tr>
      <w:tr>
        <w:trPr>
          <w:trHeight w:val="216"/>
        </w:trPr>
        <w:tc>
          <w:tcPr>
            <w:tcW w:w="37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the votes cast at a general meeting of our</w:t>
            </w:r>
          </w:p>
        </w:tc>
      </w:tr>
      <w:tr>
        <w:trPr>
          <w:trHeight w:val="216"/>
        </w:trPr>
        <w:tc>
          <w:tcPr>
            <w:tcW w:w="37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6"/>
              </w:rPr>
              <w:t>shareholders) to approve any amendments to the</w:t>
            </w:r>
          </w:p>
        </w:tc>
      </w:tr>
      <w:tr>
        <w:trPr>
          <w:trHeight w:val="230"/>
        </w:trPr>
        <w:tc>
          <w:tcPr>
            <w:tcW w:w="37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Constitution.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Acquisition of Treasury Share and</w:t>
      </w:r>
      <w:r>
        <w:rPr>
          <w:sz w:val="20"/>
          <w:szCs w:val="20"/>
          <w:color w:val="auto"/>
        </w:rPr>
        <w:tab/>
      </w:r>
      <w:r>
        <w:rPr>
          <w:rFonts w:ascii="Arial" w:cs="Arial" w:eastAsia="Arial" w:hAnsi="Arial"/>
          <w:sz w:val="15"/>
          <w:szCs w:val="15"/>
          <w:color w:val="auto"/>
        </w:rPr>
        <w:t>We may reduce our authorized but unissued share</w:t>
      </w:r>
    </w:p>
    <w:p>
      <w:pPr>
        <w:spacing w:after="0" w:line="23"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Reduction of Share Capital</w:t>
      </w:r>
      <w:r>
        <w:rPr>
          <w:sz w:val="20"/>
          <w:szCs w:val="20"/>
          <w:color w:val="auto"/>
        </w:rPr>
        <w:tab/>
      </w:r>
      <w:r>
        <w:rPr>
          <w:rFonts w:ascii="Arial" w:cs="Arial" w:eastAsia="Arial" w:hAnsi="Arial"/>
          <w:sz w:val="16"/>
          <w:szCs w:val="16"/>
          <w:color w:val="auto"/>
        </w:rPr>
        <w:t>capital in any manner permitted by the Irish</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Companies Act. We also may, by special resolution</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(approved by not less than 75% of the votes cast at a</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general meeting of our shareholders) and subject to</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confirmation by the Irish High Court, reduce our</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issued share capital in any way permitted by the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Irish Companies Act.</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For purposes of Irish law, repurchases of our shares</w:t>
      </w:r>
    </w:p>
    <w:p>
      <w:pPr>
        <w:spacing w:after="0" w:line="46"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may be effected by a redemption if the repurchased</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shares are redeemable shares or are deemed to be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redeemable shares by the Constitution.</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The Constitution provides that, unless the board of</w:t>
      </w:r>
    </w:p>
    <w:p>
      <w:pPr>
        <w:spacing w:after="0" w:line="35"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directors determines otherwise, each of our shares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shall be deemed to be a redeemable share on, and</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from the time of, the existence or creation of an</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agreement, transaction or trade between us and any</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person pursuant to which we acquire or will acquire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our shares, or an interest in our shares, from the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relevant person. Redeemable shares of ours shall</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have the same characteristics as any other of our</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shares save that they shall be redeemable in</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accordance with the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226314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2263140" cy="17145"/>
                    </a:xfrm>
                    <a:prstGeom prst="rect">
                      <a:avLst/>
                    </a:prstGeom>
                    <a:noFill/>
                  </pic:spPr>
                </pic:pic>
              </a:graphicData>
            </a:graphic>
          </wp:anchor>
        </w:drawing>
      </w:r>
    </w:p>
    <w:p>
      <w:pPr>
        <w:spacing w:after="0" w:line="25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Amendment of Certification of Incorporation and Bylaws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Delaware law, amendments to a corporation’s certificate of incorporation require the approval of stockholders holding a majority of the outstanding shares entitled to vote on the amendment.</w:t>
      </w:r>
    </w:p>
    <w:p>
      <w:pPr>
        <w:spacing w:after="0" w:line="18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If a class vote on the amendment is required by the Delaware General Corporation Law, a majority of the outstanding stock of the class is required, unless a greater proportion is specified in the certificate of incorporation or by other provisions of the Delaware General Corporation Law. Under the Delaware General Corporation Law, the board of directors may amend bylaws if so authorized in the certificate of incorporation. The stockholders of a Delaware corporation also have the power to amend bylaws.</w:t>
      </w:r>
    </w:p>
    <w:p>
      <w:pPr>
        <w:spacing w:after="0" w:line="17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Delaware law, a corporation, by an affirmative vote of a majority of the board of directors, may reduce its capital by reducing or eliminating the capital represented by shares of capital stock which have been retired, by applying to an already authorized purchase redemption, conversion or exchange of outstanding shares of its capital stock some or all of the capital represented by shares being purchased, redeemed, converted or exchanged or any capital that has not been allocated to any particular class of capital stock or by transferring to surplus capital some or all of the capital not represented by any particular class of its capital stock or the capital associated with certain issued shares of its par value capital stock. No reduction of capital may be made unless the assets of the corporation remaining after the reduction are sufficient to pay any debts for which payment has not otherwise been provided.</w:t>
      </w:r>
    </w:p>
    <w:p>
      <w:pPr>
        <w:sectPr>
          <w:pgSz w:w="11900" w:h="16838" w:orient="portrait"/>
          <w:cols w:equalWidth="0" w:num="2">
            <w:col w:w="7560" w:space="120"/>
            <w:col w:w="3540"/>
          </w:cols>
          <w:pgMar w:left="320" w:top="121" w:right="359" w:bottom="1440" w:gutter="0" w:footer="0" w:header="0"/>
        </w:sectPr>
      </w:pPr>
    </w:p>
    <w:bookmarkStart w:id="206" w:name="page207"/>
    <w:bookmarkEnd w:id="206"/>
    <w:p>
      <w:pPr>
        <w:ind w:left="5200"/>
        <w:spacing w:after="0"/>
        <w:tabs>
          <w:tab w:leader="none" w:pos="8880" w:val="left"/>
        </w:tabs>
        <w:rPr>
          <w:sz w:val="20"/>
          <w:szCs w:val="20"/>
          <w:color w:val="auto"/>
        </w:rPr>
      </w:pPr>
      <w:r>
        <w:rPr>
          <w:rFonts w:ascii="Arial" w:cs="Arial" w:eastAsia="Arial" w:hAnsi="Arial"/>
          <w:sz w:val="17"/>
          <w:szCs w:val="17"/>
          <w:b w:val="1"/>
          <w:bCs w:val="1"/>
          <w:color w:val="auto"/>
        </w:rPr>
        <w:t>IRELAND</w:t>
      </w:r>
      <w:r>
        <w:rPr>
          <w:sz w:val="20"/>
          <w:szCs w:val="20"/>
          <w:color w:val="auto"/>
        </w:rPr>
        <w:tab/>
      </w: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33020</wp:posOffset>
            </wp:positionV>
            <wp:extent cx="47491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47491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81"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Rights of Inspection</w:t>
      </w:r>
      <w:r>
        <w:rPr>
          <w:sz w:val="20"/>
          <w:szCs w:val="20"/>
          <w:color w:val="auto"/>
        </w:rPr>
        <w:tab/>
      </w:r>
      <w:r>
        <w:rPr>
          <w:rFonts w:ascii="Arial" w:cs="Arial" w:eastAsia="Arial" w:hAnsi="Arial"/>
          <w:sz w:val="16"/>
          <w:szCs w:val="16"/>
          <w:color w:val="auto"/>
        </w:rPr>
        <w:t>Under Irish law, our shareholders have the right to:</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(i) receive a copy of the Constitution; (ii) inspect</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and obtain copies of the minutes of our general</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meetings and resolutions; (iii) inspect and receive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 copy of our register of members, register of</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directors and secretaries, register of directors’</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interests, register of directors’ service contracts</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and memoranda and other statutory registers that</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we maintain; (iv) receive copies of balance sheets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and directors’ and auditors’ reports that have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previously been sent to our shareholders prior to an</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annual general meeting; and (v) receive balance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sheets of any of our subsidiaries that have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previously been sent to our shareholders prior to an</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annual general meeting for the preceding 10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Liability of Directors and Officers</w:t>
      </w:r>
      <w:r>
        <w:rPr>
          <w:sz w:val="20"/>
          <w:szCs w:val="20"/>
          <w:color w:val="auto"/>
        </w:rPr>
        <w:tab/>
      </w:r>
      <w:r>
        <w:rPr>
          <w:rFonts w:ascii="Arial" w:cs="Arial" w:eastAsia="Arial" w:hAnsi="Arial"/>
          <w:sz w:val="16"/>
          <w:szCs w:val="16"/>
          <w:color w:val="auto"/>
        </w:rPr>
        <w:t>To the fullest extent permitted by Irish law, the</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Constitution contains indemnification for the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benefit of, among others, our directors, company</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secretary and executive officers. However, as to</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our directors and company secretary, this</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indemnity is limited by the Irish Companies Act,</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which prescribes that an advance commitment to</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indemnify only permits a company to pay the costs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or discharge the liability of a director or company</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secretary where judgment is given in favor of the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director or company secretary in any civil or</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criminal action in respect of such costs or liability,</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or where an Irish court grants relief because the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director or company secretary acted honestly and</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reasonably and ought fairly to be excused. Any</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provision whereby an Irish company seeks to</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commit in advance to indemnify its directors or</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company secretary over and above the limitations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imposed by the Irish Companies Act will be void,</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whether contained in its Constitution or any</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contract between the company and the director or</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company secretary. This restriction does not apply</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to our executive officers who are not directors, our</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company secretary or other persons who would be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considered “officers” within the meaning of the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Irish Companies Act.</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We are permitted under the Constitution and the</w:t>
      </w:r>
    </w:p>
    <w:p>
      <w:pPr>
        <w:spacing w:after="0" w:line="3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Irish Companies Act to take out directors’ and</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officers’ liability insurance, as well as other types</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of insurance, for our directors, officers, employees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and agents. In order to attract and retain qualified</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directors and officers, we expect to purchase and</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maintain customary directors’ and officers’</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liability insurance and other types of comparable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Delaware law allows any stockholder in person or by attorney or other agent, upon written demand under oath stating the purpose thereof, during the usual hours for business to inspect for any proper purpose, and to make copies and extracts from:</w:t>
      </w:r>
    </w:p>
    <w:p>
      <w:pPr>
        <w:spacing w:after="0" w:line="161" w:lineRule="exact"/>
        <w:rPr>
          <w:sz w:val="20"/>
          <w:szCs w:val="20"/>
          <w:color w:val="auto"/>
        </w:rPr>
      </w:pPr>
    </w:p>
    <w:p>
      <w:pPr>
        <w:jc w:val="center"/>
        <w:ind w:right="60" w:firstLine="8"/>
        <w:spacing w:after="0" w:line="342" w:lineRule="auto"/>
        <w:tabs>
          <w:tab w:leader="none" w:pos="3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corporation’s stock ledger, a list of its stockholders, and its other books and records; and</w:t>
      </w:r>
    </w:p>
    <w:p>
      <w:pPr>
        <w:spacing w:after="0" w:line="123" w:lineRule="exact"/>
        <w:rPr>
          <w:rFonts w:ascii="Arial" w:cs="Arial" w:eastAsia="Arial" w:hAnsi="Arial"/>
          <w:sz w:val="16"/>
          <w:szCs w:val="16"/>
          <w:color w:val="auto"/>
        </w:rPr>
      </w:pPr>
    </w:p>
    <w:p>
      <w:pPr>
        <w:ind w:right="40" w:firstLine="8"/>
        <w:spacing w:after="0" w:line="277" w:lineRule="auto"/>
        <w:tabs>
          <w:tab w:leader="none" w:pos="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subsidiary’s books and records, to the extent that:</w:t>
      </w:r>
    </w:p>
    <w:p>
      <w:pPr>
        <w:spacing w:after="0" w:line="170" w:lineRule="exact"/>
        <w:rPr>
          <w:sz w:val="20"/>
          <w:szCs w:val="20"/>
          <w:color w:val="auto"/>
        </w:rPr>
      </w:pPr>
    </w:p>
    <w:p>
      <w:pPr>
        <w:jc w:val="both"/>
        <w:ind w:right="380" w:firstLine="8"/>
        <w:spacing w:after="0" w:line="381" w:lineRule="auto"/>
        <w:tabs>
          <w:tab w:leader="none" w:pos="29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the corporation has actual possession and control of such records of such subsidiary; or</w:t>
      </w:r>
    </w:p>
    <w:p>
      <w:pPr>
        <w:spacing w:after="0" w:line="100" w:lineRule="exact"/>
        <w:rPr>
          <w:rFonts w:ascii="Arial" w:cs="Arial" w:eastAsia="Arial" w:hAnsi="Arial"/>
          <w:sz w:val="15"/>
          <w:szCs w:val="15"/>
          <w:color w:val="auto"/>
        </w:rPr>
      </w:pPr>
    </w:p>
    <w:p>
      <w:pPr>
        <w:ind w:right="360" w:firstLine="8"/>
        <w:spacing w:after="0" w:line="259" w:lineRule="auto"/>
        <w:tabs>
          <w:tab w:leader="none" w:pos="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corporation could obtain such records through the exercise of control over such subsidiary, provided that as of the date of the making of the demand:</w:t>
      </w:r>
    </w:p>
    <w:p>
      <w:pPr>
        <w:spacing w:after="0" w:line="187" w:lineRule="exact"/>
        <w:rPr>
          <w:sz w:val="20"/>
          <w:szCs w:val="20"/>
          <w:color w:val="auto"/>
        </w:rPr>
      </w:pPr>
    </w:p>
    <w:p>
      <w:pPr>
        <w:ind w:firstLine="8"/>
        <w:spacing w:after="0" w:line="275" w:lineRule="auto"/>
        <w:tabs>
          <w:tab w:leader="none" w:pos="2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stockholder inspection of such books and records of the subsidiary would not constitute a breach of an agreement between the corporation or the subsidiary and a person or persons not affiliated with the corporation; and</w:t>
      </w:r>
    </w:p>
    <w:p>
      <w:pPr>
        <w:spacing w:after="0" w:line="176" w:lineRule="exact"/>
        <w:rPr>
          <w:rFonts w:ascii="Arial" w:cs="Arial" w:eastAsia="Arial" w:hAnsi="Arial"/>
          <w:sz w:val="17"/>
          <w:szCs w:val="17"/>
          <w:color w:val="auto"/>
        </w:rPr>
      </w:pPr>
    </w:p>
    <w:p>
      <w:pPr>
        <w:ind w:right="40" w:firstLine="8"/>
        <w:spacing w:after="0" w:line="259" w:lineRule="auto"/>
        <w:tabs>
          <w:tab w:leader="none" w:pos="31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subsidiary would not have the right under the law applicable to it to deny the corporation access to such books and records upon demand by the corporation.</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Delaware law permits a corporation’s certificate of incorporation to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177" w:lineRule="exact"/>
        <w:rPr>
          <w:sz w:val="20"/>
          <w:szCs w:val="20"/>
          <w:color w:val="auto"/>
        </w:rPr>
      </w:pPr>
    </w:p>
    <w:p>
      <w:pPr>
        <w:ind w:right="100" w:firstLine="8"/>
        <w:spacing w:after="0" w:line="277" w:lineRule="auto"/>
        <w:tabs>
          <w:tab w:leader="none" w:pos="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breach of his or her duty of loyalty to the corporation or its stockholders;</w:t>
      </w:r>
    </w:p>
    <w:p>
      <w:pPr>
        <w:spacing w:after="0" w:line="170" w:lineRule="exact"/>
        <w:rPr>
          <w:rFonts w:ascii="Arial" w:cs="Arial" w:eastAsia="Arial" w:hAnsi="Arial"/>
          <w:sz w:val="18"/>
          <w:szCs w:val="18"/>
          <w:color w:val="auto"/>
        </w:rPr>
      </w:pPr>
    </w:p>
    <w:p>
      <w:pPr>
        <w:ind w:right="200" w:firstLine="8"/>
        <w:spacing w:after="0" w:line="263" w:lineRule="auto"/>
        <w:tabs>
          <w:tab w:leader="none" w:pos="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183" w:lineRule="exact"/>
        <w:rPr>
          <w:rFonts w:ascii="Arial" w:cs="Arial" w:eastAsia="Arial" w:hAnsi="Arial"/>
          <w:sz w:val="18"/>
          <w:szCs w:val="18"/>
          <w:color w:val="auto"/>
        </w:rPr>
      </w:pPr>
    </w:p>
    <w:p>
      <w:pPr>
        <w:ind w:right="120" w:firstLine="8"/>
        <w:spacing w:after="0" w:line="342" w:lineRule="auto"/>
        <w:tabs>
          <w:tab w:leader="none" w:pos="3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intentional or negligent payment of unlawful dividends or stock purchases or redemptions; or</w:t>
      </w:r>
    </w:p>
    <w:p>
      <w:pPr>
        <w:spacing w:after="0" w:line="123" w:lineRule="exact"/>
        <w:rPr>
          <w:rFonts w:ascii="Arial" w:cs="Arial" w:eastAsia="Arial" w:hAnsi="Arial"/>
          <w:sz w:val="16"/>
          <w:szCs w:val="16"/>
          <w:color w:val="auto"/>
        </w:rPr>
      </w:pPr>
    </w:p>
    <w:p>
      <w:pPr>
        <w:ind w:right="120" w:firstLine="8"/>
        <w:spacing w:after="0" w:line="277" w:lineRule="auto"/>
        <w:tabs>
          <w:tab w:leader="none" w:pos="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transaction from which he or she derives an improper personal benefit.</w:t>
      </w:r>
    </w:p>
    <w:p>
      <w:pPr>
        <w:sectPr>
          <w:pgSz w:w="11900" w:h="16838" w:orient="portrait"/>
          <w:cols w:equalWidth="0" w:num="2">
            <w:col w:w="7460" w:space="100"/>
            <w:col w:w="3660"/>
          </w:cols>
          <w:pgMar w:left="320" w:top="121" w:right="359" w:bottom="1440" w:gutter="0" w:footer="0" w:header="0"/>
          <w:type w:val="continuous"/>
        </w:sectPr>
      </w:pPr>
    </w:p>
    <w:bookmarkStart w:id="207" w:name="page208"/>
    <w:bookmarkEnd w:id="207"/>
    <w:p>
      <w:pPr>
        <w:ind w:left="5200"/>
        <w:spacing w:after="0"/>
        <w:tabs>
          <w:tab w:leader="none" w:pos="8880" w:val="left"/>
        </w:tabs>
        <w:rPr>
          <w:sz w:val="20"/>
          <w:szCs w:val="20"/>
          <w:color w:val="auto"/>
        </w:rPr>
      </w:pPr>
      <w:r>
        <w:rPr>
          <w:rFonts w:ascii="Arial" w:cs="Arial" w:eastAsia="Arial" w:hAnsi="Arial"/>
          <w:sz w:val="17"/>
          <w:szCs w:val="17"/>
          <w:b w:val="1"/>
          <w:bCs w:val="1"/>
          <w:color w:val="auto"/>
        </w:rPr>
        <w:t>IRELAND</w:t>
      </w:r>
      <w:r>
        <w:rPr>
          <w:sz w:val="20"/>
          <w:szCs w:val="20"/>
          <w:color w:val="auto"/>
        </w:rPr>
        <w:tab/>
      </w: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33020</wp:posOffset>
            </wp:positionV>
            <wp:extent cx="47491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47491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81"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Voting Rights</w:t>
      </w:r>
      <w:r>
        <w:rPr>
          <w:sz w:val="20"/>
          <w:szCs w:val="20"/>
          <w:color w:val="auto"/>
        </w:rPr>
        <w:tab/>
      </w:r>
      <w:r>
        <w:rPr>
          <w:rFonts w:ascii="Arial" w:cs="Arial" w:eastAsia="Arial" w:hAnsi="Arial"/>
          <w:sz w:val="16"/>
          <w:szCs w:val="16"/>
          <w:color w:val="auto"/>
        </w:rPr>
        <w:t>Under the Constitution, each holder of our</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ordinary shares is entitled to one vote for each</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ordinary share that he or she holds as of the record</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date for the meeting. We may not exercise any</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voting rights in respect of any shares held as</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treasury shares. Any shares held by our</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subsidiaries will count as treasury shares for this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purpose, and such subsidiaries cannot therefore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exercise any voting rights in respect of those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Each stockholder is entitled to one vote for each share of capital stock held by the stockholder, unless the certificate of incorporation provides otherwise. If issued, the voting rights of holders of preferred stock will be determined by the certificate of incorporation or the certificate of designation with respect to such preferred stock.</w:t>
      </w:r>
    </w:p>
    <w:p>
      <w:pPr>
        <w:spacing w:after="0" w:line="803" w:lineRule="exact"/>
        <w:rPr>
          <w:sz w:val="20"/>
          <w:szCs w:val="20"/>
          <w:color w:val="auto"/>
        </w:rPr>
      </w:pPr>
    </w:p>
    <w:p>
      <w:pPr>
        <w:sectPr>
          <w:pgSz w:w="11900" w:h="16838" w:orient="portrait"/>
          <w:cols w:equalWidth="0" w:num="2">
            <w:col w:w="7400" w:space="160"/>
            <w:col w:w="3680"/>
          </w:cols>
          <w:pgMar w:left="320" w:top="121" w:right="339" w:bottom="1440" w:gutter="0" w:footer="0" w:header="0"/>
          <w:type w:val="continuous"/>
        </w:sectPr>
      </w:pPr>
    </w:p>
    <w:p>
      <w:pPr>
        <w:spacing w:after="0" w:line="11"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Shareholder Vote on Certain</w:t>
      </w:r>
      <w:r>
        <w:rPr>
          <w:sz w:val="20"/>
          <w:szCs w:val="20"/>
          <w:color w:val="auto"/>
        </w:rPr>
        <w:tab/>
      </w:r>
      <w:r>
        <w:rPr>
          <w:rFonts w:ascii="Arial" w:cs="Arial" w:eastAsia="Arial" w:hAnsi="Arial"/>
          <w:sz w:val="16"/>
          <w:szCs w:val="16"/>
          <w:color w:val="auto"/>
        </w:rPr>
        <w:t>Pursuant to Irish law, shareholder approval in</w:t>
      </w:r>
    </w:p>
    <w:p>
      <w:pPr>
        <w:spacing w:after="0" w:line="23"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Transactions</w:t>
      </w:r>
      <w:r>
        <w:rPr>
          <w:sz w:val="20"/>
          <w:szCs w:val="20"/>
          <w:color w:val="auto"/>
        </w:rPr>
        <w:tab/>
      </w:r>
      <w:r>
        <w:rPr>
          <w:rFonts w:ascii="Arial" w:cs="Arial" w:eastAsia="Arial" w:hAnsi="Arial"/>
          <w:sz w:val="18"/>
          <w:szCs w:val="18"/>
          <w:color w:val="auto"/>
        </w:rPr>
        <w:t>connection with a transaction involving the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Company would be required under the following</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circumstances:</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in connection with a scheme of arrangement, both</w:t>
      </w:r>
    </w:p>
    <w:p>
      <w:pPr>
        <w:spacing w:after="0" w:line="46"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 court order from the Irish High Court and the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approval of a majority in number representing 75%</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in value of the shareholders present and voting in</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person or by proxy at a meeting called to approve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such a scheme would be required;</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in connection with an acquisition of the Company</w:t>
      </w:r>
    </w:p>
    <w:p>
      <w:pPr>
        <w:spacing w:after="0" w:line="35"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by way of a merger with an EU company under the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EU Cross-Border Mergers Directive 2005/56/EC,</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(as replaced by Directive (EU) 2017/1132 of June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14, 2017), approval by a special resolution of the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shareholders would be required; and</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in connection with a merger with an Irish company</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under the Irish Companies Act, approval by a</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special resolution of shareholders would be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192"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approval of the board of directors; and the approval by the vote of the holders of a majority of the outstanding stock or, if the certificate of incorporation provides for more or less than one vote per share, a majority of the votes of the outstanding stock of the corporation entitled to vote on the matter.</w:t>
      </w:r>
    </w:p>
    <w:p>
      <w:pPr>
        <w:sectPr>
          <w:pgSz w:w="11900" w:h="16838" w:orient="portrait"/>
          <w:cols w:equalWidth="0" w:num="2">
            <w:col w:w="7460" w:space="100"/>
            <w:col w:w="3680"/>
          </w:cols>
          <w:pgMar w:left="320" w:top="121" w:right="339" w:bottom="1440" w:gutter="0" w:footer="0" w:header="0"/>
          <w:type w:val="continuous"/>
        </w:sectPr>
      </w:pPr>
    </w:p>
    <w:bookmarkStart w:id="208" w:name="page209"/>
    <w:bookmarkEnd w:id="208"/>
    <w:p>
      <w:pPr>
        <w:ind w:left="5200"/>
        <w:spacing w:after="0"/>
        <w:tabs>
          <w:tab w:leader="none" w:pos="8880" w:val="left"/>
        </w:tabs>
        <w:rPr>
          <w:sz w:val="20"/>
          <w:szCs w:val="20"/>
          <w:color w:val="auto"/>
        </w:rPr>
      </w:pPr>
      <w:r>
        <w:rPr>
          <w:rFonts w:ascii="Arial" w:cs="Arial" w:eastAsia="Arial" w:hAnsi="Arial"/>
          <w:sz w:val="17"/>
          <w:szCs w:val="17"/>
          <w:b w:val="1"/>
          <w:bCs w:val="1"/>
          <w:color w:val="auto"/>
        </w:rPr>
        <w:t>IRELAND</w:t>
      </w:r>
      <w:r>
        <w:rPr>
          <w:sz w:val="20"/>
          <w:szCs w:val="20"/>
          <w:color w:val="auto"/>
        </w:rPr>
        <w:tab/>
      </w: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33020</wp:posOffset>
            </wp:positionV>
            <wp:extent cx="47491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47491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81"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Standard of Conduct for Directors</w:t>
      </w:r>
      <w:r>
        <w:rPr>
          <w:sz w:val="20"/>
          <w:szCs w:val="20"/>
          <w:color w:val="auto"/>
        </w:rPr>
        <w:tab/>
      </w:r>
      <w:r>
        <w:rPr>
          <w:rFonts w:ascii="Arial" w:cs="Arial" w:eastAsia="Arial" w:hAnsi="Arial"/>
          <w:sz w:val="16"/>
          <w:szCs w:val="16"/>
          <w:color w:val="auto"/>
        </w:rPr>
        <w:t>The directors of the Company have certain</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statutory and fiduciary duties as a matter of Irish</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law. All of the directors have equal and overall</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responsibility for the management of the Company</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(although directors who also serve as employees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may have additional responsibilities and duties</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arising under their employment agreements (if</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applicable), and it is likely that more will be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expected of them in compliance with their duties</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than non-executive directors). The Irish</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Companies Act provides specifically for certain</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fiduciary duties of the directors of Irish companies,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including duties:</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to act in good faith and in the best interests of the</w:t>
      </w:r>
    </w:p>
    <w:p>
      <w:pPr>
        <w:spacing w:after="0" w:line="46"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to act honestly and responsibly in relation to the</w:t>
      </w:r>
    </w:p>
    <w:p>
      <w:pPr>
        <w:spacing w:after="0" w:line="3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company’s affairs;</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to act in accordance with the company’s</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constitution and to exercise powers only for lawful</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purposes;</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not to misuse the company’s property, information</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and/or opportunity;</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not to fetter their independent judgment;</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to avoid conflicts of interest;</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to exercise care, skill and diligence; and</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to have regard for the interests of the company’s</w:t>
      </w:r>
    </w:p>
    <w:p>
      <w:pPr>
        <w:spacing w:after="0" w:line="3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shareholders.</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Other statutory duties of directors include ensuring</w:t>
      </w:r>
    </w:p>
    <w:p>
      <w:pPr>
        <w:spacing w:after="0" w:line="46"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the maintenance of proper books of account,</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having annual accounts prepared, having an annual</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audit performed, maintaining certain registers,</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making certain filings and disclosing personal</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interests. Directors of public limited companies</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such as GH will have a specific duty to ensure that</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the company secretary is a person with the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requisite knowledge and experience to discharge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the role. Directors may rely on information,</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opinions, reports or statements, including financial</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statements and other financial data, prepared or</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presented by (1) other directors, officers or</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employees of the company whom the director</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reasonably believes to be reliable and competent in</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the matters prepared or presented, (2) legal</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counsel, public accountants or other persons as to</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matters the director reasonably believes to be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within their professional or expert competence or</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(3) a committee of the board of which the director</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does not serve as to matters within its designated</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authority, which committee the director reasonably</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believed to merit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interests of the stockholders.</w:t>
      </w:r>
    </w:p>
    <w:p>
      <w:pPr>
        <w:spacing w:after="0" w:line="16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7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ectPr>
          <w:pgSz w:w="11900" w:h="16838" w:orient="portrait"/>
          <w:cols w:equalWidth="0" w:num="2">
            <w:col w:w="7440" w:space="120"/>
            <w:col w:w="3680"/>
          </w:cols>
          <w:pgMar w:left="320" w:top="121" w:right="339" w:bottom="1440" w:gutter="0" w:footer="0" w:header="0"/>
          <w:type w:val="continuous"/>
        </w:sectPr>
      </w:pPr>
    </w:p>
    <w:bookmarkStart w:id="209" w:name="page210"/>
    <w:bookmarkEnd w:id="209"/>
    <w:p>
      <w:pPr>
        <w:ind w:left="5200"/>
        <w:spacing w:after="0"/>
        <w:tabs>
          <w:tab w:leader="none" w:pos="8880" w:val="left"/>
        </w:tabs>
        <w:rPr>
          <w:sz w:val="20"/>
          <w:szCs w:val="20"/>
          <w:color w:val="auto"/>
        </w:rPr>
      </w:pPr>
      <w:r>
        <w:rPr>
          <w:rFonts w:ascii="Arial" w:cs="Arial" w:eastAsia="Arial" w:hAnsi="Arial"/>
          <w:sz w:val="17"/>
          <w:szCs w:val="17"/>
          <w:b w:val="1"/>
          <w:bCs w:val="1"/>
          <w:color w:val="auto"/>
        </w:rPr>
        <w:t>IRELAND</w:t>
      </w:r>
      <w:r>
        <w:rPr>
          <w:sz w:val="20"/>
          <w:szCs w:val="20"/>
          <w:color w:val="auto"/>
        </w:rPr>
        <w:tab/>
      </w:r>
      <w:r>
        <w:rPr>
          <w:rFonts w:ascii="Arial" w:cs="Arial" w:eastAsia="Arial" w:hAnsi="Arial"/>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33020</wp:posOffset>
            </wp:positionV>
            <wp:extent cx="47491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47491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81"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color w:val="auto"/>
        </w:rPr>
        <w:t>Shareholder Suits</w:t>
      </w:r>
      <w:r>
        <w:rPr>
          <w:sz w:val="20"/>
          <w:szCs w:val="20"/>
          <w:color w:val="auto"/>
        </w:rPr>
        <w:tab/>
      </w:r>
      <w:r>
        <w:rPr>
          <w:rFonts w:ascii="Arial" w:cs="Arial" w:eastAsia="Arial" w:hAnsi="Arial"/>
          <w:sz w:val="16"/>
          <w:szCs w:val="16"/>
          <w:color w:val="auto"/>
        </w:rPr>
        <w:t>In Ireland, the decision to institute proceedings is</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generally taken by a company’s board of directors,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who will usually be empowered to manage the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company’s business. In certain limited</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circumstances, a shareholder may be entitled to</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bring a derivative action on behalf of the company.</w:t>
      </w:r>
    </w:p>
    <w:p>
      <w:pPr>
        <w:spacing w:after="0" w:line="234"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The central question at issue in deciding whether a</w:t>
      </w:r>
    </w:p>
    <w:p>
      <w:pPr>
        <w:spacing w:after="0" w:line="46"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minority shareholder may be permitted to bring a</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derivative action is whether, unless the action is</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brought, a wrong committed against the company</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would otherwise go unredressed.</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The principal case law in Ireland indicates that to</w:t>
      </w:r>
    </w:p>
    <w:p>
      <w:pPr>
        <w:spacing w:after="0" w:line="3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bring a derivative action a person must first</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establish a prima facie case (i) that the company is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entitled to the relief claimed and (ii) that the action</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falls within one of the five exceptions derived from</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case law, as follows:</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(1) where an ultra vires or illegal act is</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perpetrated;</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(2) where more than a bare majority is required to</w:t>
      </w:r>
    </w:p>
    <w:p>
      <w:pPr>
        <w:spacing w:after="0" w:line="46"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ratify the “wrong” complained of;</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(3) where the shareholders’ personal rights are</w:t>
      </w:r>
    </w:p>
    <w:p>
      <w:pPr>
        <w:spacing w:after="0" w:line="3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infringed;</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(4) where a fraud has been perpetrated upon a</w:t>
      </w:r>
    </w:p>
    <w:p>
      <w:pPr>
        <w:spacing w:after="0" w:line="3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minority by those in control; or</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(5) where the justice of the case requires a</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minority to be permitted to institute proceedings.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Under Delaware law, a stockholder may bring a derivative action on behalf of the corporation to enforce the rights of the corporation. An individual also may commence a class action suit on behalf of himself or herself and other similarly situated stockholders where the requirements for maintaining a class action under the Delaware General Corporation Law have been met. A person may institute and maintain such a suit only if such person was a stockholder at the time of the transaction which is the subject of the suit or his or her shares thereafter devolved upon him or her by operation of law. Additionally, under Delaware case law, the plaintiff generally must be a stockholder not only at the time of the transaction which is the subject of the suit, but also through the duration of the derivative suit. The Delaware General Corporation Law also requires that the derivative plaintiff make a demand on the directors of the corporation to assert the corporate claim before the suit may be prosecuted by the derivative plaintiff, unless such demand would be futile.</w:t>
      </w:r>
    </w:p>
    <w:p>
      <w:pPr>
        <w:spacing w:after="0" w:line="2536" w:lineRule="exact"/>
        <w:rPr>
          <w:sz w:val="20"/>
          <w:szCs w:val="20"/>
          <w:color w:val="auto"/>
        </w:rPr>
      </w:pPr>
    </w:p>
    <w:p>
      <w:pPr>
        <w:sectPr>
          <w:pgSz w:w="11900" w:h="16838" w:orient="portrait"/>
          <w:cols w:equalWidth="0" w:num="2">
            <w:col w:w="7460" w:space="100"/>
            <w:col w:w="3680"/>
          </w:cols>
          <w:pgMar w:left="320" w:top="121" w:right="339" w:bottom="1440" w:gutter="0" w:footer="0" w:header="0"/>
          <w:type w:val="continuous"/>
        </w:sectPr>
      </w:pPr>
    </w:p>
    <w:p>
      <w:pPr>
        <w:spacing w:after="0" w:line="2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Shareholders may also bring proceedings against</w:t>
      </w:r>
    </w:p>
    <w:p>
      <w:pPr>
        <w:spacing w:after="0" w:line="46"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the company where the affairs of the company are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being conducted, or the powers of the directors are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being exercised, in a manner oppressive to the</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shareholders or in disregard of their interests.</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Oppression connotes conduct that is burdensome,</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harsh or wrong.</w:t>
      </w:r>
    </w:p>
    <w:p>
      <w:pPr>
        <w:spacing w:after="0" w:line="21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Conduct must relate to the internal management of</w:t>
      </w:r>
    </w:p>
    <w:p>
      <w:pPr>
        <w:spacing w:after="0" w:line="46"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the company. This is an Irish statutory remedy and</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the court can grant any order it sees fit, usually</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providing for the purchase or transfer of the shares</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of any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0" w:name="page211"/>
    <w:bookmarkEnd w:id="21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jc w:val="center"/>
        <w:spacing w:after="0" w:line="230" w:lineRule="auto"/>
        <w:rPr>
          <w:sz w:val="20"/>
          <w:szCs w:val="20"/>
          <w:color w:val="auto"/>
        </w:rPr>
      </w:pPr>
      <w:r>
        <w:rPr>
          <w:rFonts w:ascii="Arial" w:cs="Arial" w:eastAsia="Arial" w:hAnsi="Arial"/>
          <w:sz w:val="22"/>
          <w:szCs w:val="22"/>
          <w:b w:val="1"/>
          <w:bCs w:val="1"/>
          <w:color w:val="auto"/>
        </w:rPr>
        <w:t>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Theis Terwey, certify that:</w:t>
      </w:r>
    </w:p>
    <w:p>
      <w:pPr>
        <w:spacing w:after="0" w:line="240" w:lineRule="exact"/>
        <w:rPr>
          <w:sz w:val="20"/>
          <w:szCs w:val="20"/>
          <w:color w:val="auto"/>
        </w:rPr>
      </w:pPr>
    </w:p>
    <w:p>
      <w:pPr>
        <w:ind w:left="820" w:hanging="326"/>
        <w:spacing w:after="0"/>
        <w:tabs>
          <w:tab w:leader="none" w:pos="8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GH Research PLC;</w:t>
      </w:r>
    </w:p>
    <w:p>
      <w:pPr>
        <w:spacing w:after="0" w:line="252" w:lineRule="exact"/>
        <w:rPr>
          <w:rFonts w:ascii="Arial" w:cs="Arial" w:eastAsia="Arial" w:hAnsi="Arial"/>
          <w:sz w:val="18"/>
          <w:szCs w:val="18"/>
          <w:color w:val="auto"/>
        </w:rPr>
      </w:pPr>
    </w:p>
    <w:p>
      <w:pPr>
        <w:ind w:left="820" w:right="20" w:hanging="326"/>
        <w:spacing w:after="0" w:line="263" w:lineRule="auto"/>
        <w:tabs>
          <w:tab w:leader="none" w:pos="8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820" w:right="180" w:hanging="326"/>
        <w:spacing w:after="0" w:line="308" w:lineRule="auto"/>
        <w:tabs>
          <w:tab w:leader="none" w:pos="8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3" w:lineRule="exact"/>
        <w:rPr>
          <w:rFonts w:ascii="Arial" w:cs="Arial" w:eastAsia="Arial" w:hAnsi="Arial"/>
          <w:sz w:val="17"/>
          <w:szCs w:val="17"/>
          <w:color w:val="auto"/>
        </w:rPr>
      </w:pPr>
    </w:p>
    <w:p>
      <w:pPr>
        <w:ind w:left="820" w:right="160" w:hanging="326"/>
        <w:spacing w:after="0" w:line="277" w:lineRule="auto"/>
        <w:tabs>
          <w:tab w:leader="none" w:pos="8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97" w:lineRule="exact"/>
        <w:rPr>
          <w:rFonts w:ascii="Arial" w:cs="Arial" w:eastAsia="Arial" w:hAnsi="Arial"/>
          <w:sz w:val="18"/>
          <w:szCs w:val="18"/>
          <w:color w:val="auto"/>
        </w:rPr>
      </w:pPr>
    </w:p>
    <w:p>
      <w:pPr>
        <w:ind w:left="1620" w:right="60" w:hanging="316"/>
        <w:spacing w:after="0" w:line="286" w:lineRule="auto"/>
        <w:tabs>
          <w:tab w:leader="none" w:pos="162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620" w:hanging="316"/>
        <w:spacing w:after="0"/>
        <w:tabs>
          <w:tab w:leader="none" w:pos="16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52" w:lineRule="exact"/>
        <w:rPr>
          <w:rFonts w:ascii="Arial" w:cs="Arial" w:eastAsia="Arial" w:hAnsi="Arial"/>
          <w:sz w:val="18"/>
          <w:szCs w:val="18"/>
          <w:color w:val="auto"/>
        </w:rPr>
      </w:pPr>
    </w:p>
    <w:p>
      <w:pPr>
        <w:ind w:left="1620" w:right="200" w:hanging="316"/>
        <w:spacing w:after="0" w:line="263" w:lineRule="auto"/>
        <w:tabs>
          <w:tab w:leader="none" w:pos="16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ind w:left="1620" w:right="20" w:hanging="316"/>
        <w:spacing w:after="0" w:line="263" w:lineRule="auto"/>
        <w:tabs>
          <w:tab w:leader="none" w:pos="16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10" w:lineRule="exact"/>
        <w:rPr>
          <w:rFonts w:ascii="Arial" w:cs="Arial" w:eastAsia="Arial" w:hAnsi="Arial"/>
          <w:sz w:val="18"/>
          <w:szCs w:val="18"/>
          <w:color w:val="auto"/>
        </w:rPr>
      </w:pPr>
    </w:p>
    <w:p>
      <w:pPr>
        <w:ind w:left="820" w:right="120" w:hanging="326"/>
        <w:spacing w:after="0" w:line="342" w:lineRule="auto"/>
        <w:tabs>
          <w:tab w:leader="none" w:pos="8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50" w:lineRule="exact"/>
        <w:rPr>
          <w:rFonts w:ascii="Arial" w:cs="Arial" w:eastAsia="Arial" w:hAnsi="Arial"/>
          <w:sz w:val="16"/>
          <w:szCs w:val="16"/>
          <w:color w:val="auto"/>
        </w:rPr>
      </w:pPr>
    </w:p>
    <w:p>
      <w:pPr>
        <w:ind w:left="1620" w:right="120" w:hanging="316"/>
        <w:spacing w:after="0" w:line="342" w:lineRule="auto"/>
        <w:tabs>
          <w:tab w:leader="none" w:pos="162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0" w:lineRule="exact"/>
        <w:rPr>
          <w:rFonts w:ascii="Arial" w:cs="Arial" w:eastAsia="Arial" w:hAnsi="Arial"/>
          <w:sz w:val="16"/>
          <w:szCs w:val="16"/>
          <w:color w:val="auto"/>
        </w:rPr>
      </w:pPr>
    </w:p>
    <w:p>
      <w:pPr>
        <w:ind w:left="1620" w:right="440" w:hanging="316"/>
        <w:spacing w:after="0" w:line="277" w:lineRule="auto"/>
        <w:tabs>
          <w:tab w:leader="none" w:pos="16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tcPr>
          <w:p>
            <w:pPr>
              <w:spacing w:after="0"/>
              <w:rPr>
                <w:sz w:val="20"/>
                <w:szCs w:val="20"/>
                <w:color w:val="auto"/>
              </w:rPr>
            </w:pPr>
            <w:r>
              <w:rPr>
                <w:rFonts w:ascii="Arial" w:cs="Arial" w:eastAsia="Arial" w:hAnsi="Arial"/>
                <w:sz w:val="18"/>
                <w:szCs w:val="18"/>
                <w:color w:val="auto"/>
              </w:rPr>
              <w:t>Date: March 28, 2022</w:t>
            </w:r>
          </w:p>
        </w:tc>
        <w:tc>
          <w:tcPr>
            <w:tcW w:w="5660" w:type="dxa"/>
            <w:vAlign w:val="bottom"/>
            <w:gridSpan w:val="2"/>
          </w:tcPr>
          <w:p>
            <w:pPr>
              <w:spacing w:after="0"/>
              <w:rPr>
                <w:sz w:val="20"/>
                <w:szCs w:val="20"/>
                <w:color w:val="auto"/>
              </w:rPr>
            </w:pPr>
            <w:r>
              <w:rPr>
                <w:rFonts w:ascii="Arial" w:cs="Arial" w:eastAsia="Arial" w:hAnsi="Arial"/>
                <w:sz w:val="18"/>
                <w:szCs w:val="18"/>
                <w:color w:val="auto"/>
              </w:rPr>
              <w:t>/s/ Theis Terwey</w:t>
            </w:r>
          </w:p>
        </w:tc>
      </w:tr>
      <w:tr>
        <w:trPr>
          <w:trHeight w:val="222"/>
        </w:trPr>
        <w:tc>
          <w:tcPr>
            <w:tcW w:w="5580" w:type="dxa"/>
            <w:vAlign w:val="bottom"/>
          </w:tcPr>
          <w:p>
            <w:pPr>
              <w:spacing w:after="0"/>
              <w:rPr>
                <w:sz w:val="19"/>
                <w:szCs w:val="19"/>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Theis Terwey</w:t>
            </w:r>
          </w:p>
        </w:tc>
        <w:tc>
          <w:tcPr>
            <w:tcW w:w="4460" w:type="dxa"/>
            <w:vAlign w:val="bottom"/>
          </w:tcPr>
          <w:p>
            <w:pPr>
              <w:spacing w:after="0"/>
              <w:rPr>
                <w:sz w:val="19"/>
                <w:szCs w:val="19"/>
                <w:color w:val="auto"/>
              </w:rPr>
            </w:pPr>
          </w:p>
        </w:tc>
      </w:tr>
      <w:tr>
        <w:trPr>
          <w:trHeight w:val="230"/>
        </w:trPr>
        <w:tc>
          <w:tcPr>
            <w:tcW w:w="5580" w:type="dxa"/>
            <w:vAlign w:val="bottom"/>
          </w:tcPr>
          <w:p>
            <w:pPr>
              <w:spacing w:after="0"/>
              <w:rPr>
                <w:sz w:val="20"/>
                <w:szCs w:val="20"/>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601"/>
        </w:trPr>
        <w:tc>
          <w:tcPr>
            <w:tcW w:w="55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12.2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jc w:val="center"/>
        <w:spacing w:after="0" w:line="230" w:lineRule="auto"/>
        <w:rPr>
          <w:sz w:val="20"/>
          <w:szCs w:val="20"/>
          <w:color w:val="auto"/>
        </w:rPr>
      </w:pPr>
      <w:r>
        <w:rPr>
          <w:rFonts w:ascii="Arial" w:cs="Arial" w:eastAsia="Arial" w:hAnsi="Arial"/>
          <w:sz w:val="22"/>
          <w:szCs w:val="22"/>
          <w:b w:val="1"/>
          <w:bCs w:val="1"/>
          <w:color w:val="auto"/>
        </w:rPr>
        <w:t>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Julie Ryan, certify that:</w:t>
      </w:r>
    </w:p>
    <w:p>
      <w:pPr>
        <w:spacing w:after="0" w:line="240" w:lineRule="exact"/>
        <w:rPr>
          <w:sz w:val="20"/>
          <w:szCs w:val="20"/>
          <w:color w:val="auto"/>
        </w:rPr>
      </w:pPr>
    </w:p>
    <w:p>
      <w:pPr>
        <w:ind w:left="820" w:hanging="326"/>
        <w:spacing w:after="0"/>
        <w:tabs>
          <w:tab w:leader="none" w:pos="8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GH Research PLC;</w:t>
      </w:r>
    </w:p>
    <w:p>
      <w:pPr>
        <w:spacing w:after="0" w:line="252" w:lineRule="exact"/>
        <w:rPr>
          <w:rFonts w:ascii="Arial" w:cs="Arial" w:eastAsia="Arial" w:hAnsi="Arial"/>
          <w:sz w:val="18"/>
          <w:szCs w:val="18"/>
          <w:color w:val="auto"/>
        </w:rPr>
      </w:pPr>
    </w:p>
    <w:p>
      <w:pPr>
        <w:ind w:left="820" w:right="20" w:hanging="326"/>
        <w:spacing w:after="0" w:line="263" w:lineRule="auto"/>
        <w:tabs>
          <w:tab w:leader="none" w:pos="8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820" w:right="180" w:hanging="326"/>
        <w:spacing w:after="0" w:line="308" w:lineRule="auto"/>
        <w:tabs>
          <w:tab w:leader="none" w:pos="8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3" w:lineRule="exact"/>
        <w:rPr>
          <w:rFonts w:ascii="Arial" w:cs="Arial" w:eastAsia="Arial" w:hAnsi="Arial"/>
          <w:sz w:val="17"/>
          <w:szCs w:val="17"/>
          <w:color w:val="auto"/>
        </w:rPr>
      </w:pPr>
    </w:p>
    <w:p>
      <w:pPr>
        <w:ind w:left="820" w:right="160" w:hanging="326"/>
        <w:spacing w:after="0" w:line="277" w:lineRule="auto"/>
        <w:tabs>
          <w:tab w:leader="none" w:pos="8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97" w:lineRule="exact"/>
        <w:rPr>
          <w:rFonts w:ascii="Arial" w:cs="Arial" w:eastAsia="Arial" w:hAnsi="Arial"/>
          <w:sz w:val="18"/>
          <w:szCs w:val="18"/>
          <w:color w:val="auto"/>
        </w:rPr>
      </w:pPr>
    </w:p>
    <w:p>
      <w:pPr>
        <w:ind w:left="1620" w:right="60" w:hanging="316"/>
        <w:spacing w:after="0" w:line="286" w:lineRule="auto"/>
        <w:tabs>
          <w:tab w:leader="none" w:pos="162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620" w:hanging="316"/>
        <w:spacing w:after="0"/>
        <w:tabs>
          <w:tab w:leader="none" w:pos="1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52" w:lineRule="exact"/>
        <w:rPr>
          <w:rFonts w:ascii="Arial" w:cs="Arial" w:eastAsia="Arial" w:hAnsi="Arial"/>
          <w:sz w:val="18"/>
          <w:szCs w:val="18"/>
          <w:color w:val="auto"/>
        </w:rPr>
      </w:pPr>
    </w:p>
    <w:p>
      <w:pPr>
        <w:ind w:left="1620" w:right="200" w:hanging="316"/>
        <w:spacing w:after="0" w:line="263" w:lineRule="auto"/>
        <w:tabs>
          <w:tab w:leader="none" w:pos="1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ind w:left="1620" w:right="20" w:hanging="316"/>
        <w:spacing w:after="0" w:line="263" w:lineRule="auto"/>
        <w:tabs>
          <w:tab w:leader="none" w:pos="1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10" w:lineRule="exact"/>
        <w:rPr>
          <w:rFonts w:ascii="Arial" w:cs="Arial" w:eastAsia="Arial" w:hAnsi="Arial"/>
          <w:sz w:val="18"/>
          <w:szCs w:val="18"/>
          <w:color w:val="auto"/>
        </w:rPr>
      </w:pPr>
    </w:p>
    <w:p>
      <w:pPr>
        <w:ind w:left="820" w:right="120" w:hanging="326"/>
        <w:spacing w:after="0" w:line="342" w:lineRule="auto"/>
        <w:tabs>
          <w:tab w:leader="none" w:pos="82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50" w:lineRule="exact"/>
        <w:rPr>
          <w:rFonts w:ascii="Arial" w:cs="Arial" w:eastAsia="Arial" w:hAnsi="Arial"/>
          <w:sz w:val="16"/>
          <w:szCs w:val="16"/>
          <w:color w:val="auto"/>
        </w:rPr>
      </w:pPr>
    </w:p>
    <w:p>
      <w:pPr>
        <w:ind w:left="1620" w:right="120" w:hanging="316"/>
        <w:spacing w:after="0" w:line="342" w:lineRule="auto"/>
        <w:tabs>
          <w:tab w:leader="none" w:pos="162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0" w:lineRule="exact"/>
        <w:rPr>
          <w:rFonts w:ascii="Arial" w:cs="Arial" w:eastAsia="Arial" w:hAnsi="Arial"/>
          <w:sz w:val="16"/>
          <w:szCs w:val="16"/>
          <w:color w:val="auto"/>
        </w:rPr>
      </w:pPr>
    </w:p>
    <w:p>
      <w:pPr>
        <w:ind w:left="1620" w:right="440" w:hanging="316"/>
        <w:spacing w:after="0" w:line="277" w:lineRule="auto"/>
        <w:tabs>
          <w:tab w:leader="none" w:pos="1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Arial" w:cs="Arial" w:eastAsia="Arial" w:hAnsi="Arial"/>
                <w:sz w:val="18"/>
                <w:szCs w:val="18"/>
                <w:color w:val="auto"/>
              </w:rPr>
              <w:t>Date: March 28, 2022</w:t>
            </w:r>
          </w:p>
        </w:tc>
        <w:tc>
          <w:tcPr>
            <w:tcW w:w="5620" w:type="dxa"/>
            <w:vAlign w:val="bottom"/>
            <w:gridSpan w:val="2"/>
          </w:tcPr>
          <w:p>
            <w:pPr>
              <w:spacing w:after="0"/>
              <w:rPr>
                <w:sz w:val="20"/>
                <w:szCs w:val="20"/>
                <w:color w:val="auto"/>
              </w:rPr>
            </w:pPr>
            <w:r>
              <w:rPr>
                <w:rFonts w:ascii="Arial" w:cs="Arial" w:eastAsia="Arial" w:hAnsi="Arial"/>
                <w:sz w:val="18"/>
                <w:szCs w:val="18"/>
                <w:color w:val="auto"/>
              </w:rPr>
              <w:t>/s/ Julie Ryan</w:t>
            </w:r>
          </w:p>
        </w:tc>
      </w:tr>
      <w:tr>
        <w:trPr>
          <w:trHeight w:val="222"/>
        </w:trPr>
        <w:tc>
          <w:tcPr>
            <w:tcW w:w="5620" w:type="dxa"/>
            <w:vAlign w:val="bottom"/>
          </w:tcPr>
          <w:p>
            <w:pPr>
              <w:spacing w:after="0"/>
              <w:rPr>
                <w:sz w:val="19"/>
                <w:szCs w:val="19"/>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Julie Ryan</w:t>
            </w:r>
          </w:p>
        </w:tc>
        <w:tc>
          <w:tcPr>
            <w:tcW w:w="4660" w:type="dxa"/>
            <w:vAlign w:val="bottom"/>
          </w:tcPr>
          <w:p>
            <w:pPr>
              <w:spacing w:after="0"/>
              <w:rPr>
                <w:sz w:val="19"/>
                <w:szCs w:val="19"/>
                <w:color w:val="auto"/>
              </w:rPr>
            </w:pPr>
          </w:p>
        </w:tc>
      </w:tr>
      <w:tr>
        <w:trPr>
          <w:trHeight w:val="230"/>
        </w:trPr>
        <w:tc>
          <w:tcPr>
            <w:tcW w:w="56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Vice President, Finance</w:t>
            </w:r>
          </w:p>
        </w:tc>
      </w:tr>
      <w:tr>
        <w:trPr>
          <w:trHeight w:val="601"/>
        </w:trPr>
        <w:tc>
          <w:tcPr>
            <w:tcW w:w="5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13.1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jc w:val="center"/>
        <w:spacing w:after="0" w:line="230" w:lineRule="auto"/>
        <w:rPr>
          <w:sz w:val="20"/>
          <w:szCs w:val="20"/>
          <w:color w:val="auto"/>
        </w:rPr>
      </w:pPr>
      <w:r>
        <w:rPr>
          <w:rFonts w:ascii="Arial" w:cs="Arial" w:eastAsia="Arial" w:hAnsi="Arial"/>
          <w:sz w:val="22"/>
          <w:szCs w:val="22"/>
          <w:b w:val="1"/>
          <w:bCs w:val="1"/>
          <w:color w:val="auto"/>
        </w:rPr>
        <w:t>18 U.S.C. SECTION 1350,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ind w:right="260"/>
        <w:spacing w:after="0" w:line="297" w:lineRule="auto"/>
        <w:rPr>
          <w:sz w:val="20"/>
          <w:szCs w:val="20"/>
          <w:color w:val="auto"/>
        </w:rPr>
      </w:pPr>
      <w:r>
        <w:rPr>
          <w:rFonts w:ascii="Arial" w:cs="Arial" w:eastAsia="Arial" w:hAnsi="Arial"/>
          <w:sz w:val="19"/>
          <w:szCs w:val="19"/>
          <w:color w:val="auto"/>
        </w:rPr>
        <w:t>The certification set forth below is being submitted in connection with GH Research PLC’s annual report on Form 20-F for the year ended December 31, 2021 (the “Report”) for the purpose of complying with Rule 13a-14(b) or Rule 15d-14(b) of the Securities Exchange Act of 1934 (the “Exchange Act”) and Section 1350 of Chapter 63 of Title 18 of the United States Code.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I, Theis Terwey, the Chief Executive Officer of GH Research PLC, certify that:</w:t>
      </w:r>
    </w:p>
    <w:p>
      <w:pPr>
        <w:spacing w:after="0" w:line="240" w:lineRule="exact"/>
        <w:rPr>
          <w:sz w:val="20"/>
          <w:szCs w:val="20"/>
          <w:color w:val="auto"/>
        </w:rPr>
      </w:pPr>
    </w:p>
    <w:p>
      <w:pPr>
        <w:ind w:left="820" w:hanging="326"/>
        <w:spacing w:after="0"/>
        <w:tabs>
          <w:tab w:leader="none" w:pos="8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52"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GH Research PLC.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tcPr>
          <w:p>
            <w:pPr>
              <w:spacing w:after="0"/>
              <w:rPr>
                <w:sz w:val="20"/>
                <w:szCs w:val="20"/>
                <w:color w:val="auto"/>
              </w:rPr>
            </w:pPr>
            <w:r>
              <w:rPr>
                <w:rFonts w:ascii="Arial" w:cs="Arial" w:eastAsia="Arial" w:hAnsi="Arial"/>
                <w:sz w:val="18"/>
                <w:szCs w:val="18"/>
                <w:color w:val="auto"/>
              </w:rPr>
              <w:t>Date: March 28, 2022</w:t>
            </w:r>
          </w:p>
        </w:tc>
        <w:tc>
          <w:tcPr>
            <w:tcW w:w="5660" w:type="dxa"/>
            <w:vAlign w:val="bottom"/>
            <w:gridSpan w:val="2"/>
          </w:tcPr>
          <w:p>
            <w:pPr>
              <w:spacing w:after="0"/>
              <w:rPr>
                <w:sz w:val="20"/>
                <w:szCs w:val="20"/>
                <w:color w:val="auto"/>
              </w:rPr>
            </w:pPr>
            <w:r>
              <w:rPr>
                <w:rFonts w:ascii="Arial" w:cs="Arial" w:eastAsia="Arial" w:hAnsi="Arial"/>
                <w:sz w:val="18"/>
                <w:szCs w:val="18"/>
                <w:color w:val="auto"/>
              </w:rPr>
              <w:t>/s/ Theis Terwey</w:t>
            </w:r>
          </w:p>
        </w:tc>
      </w:tr>
      <w:tr>
        <w:trPr>
          <w:trHeight w:val="222"/>
        </w:trPr>
        <w:tc>
          <w:tcPr>
            <w:tcW w:w="5580" w:type="dxa"/>
            <w:vAlign w:val="bottom"/>
          </w:tcPr>
          <w:p>
            <w:pPr>
              <w:spacing w:after="0"/>
              <w:rPr>
                <w:sz w:val="19"/>
                <w:szCs w:val="19"/>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Theis Terwey</w:t>
            </w:r>
          </w:p>
        </w:tc>
        <w:tc>
          <w:tcPr>
            <w:tcW w:w="4460" w:type="dxa"/>
            <w:vAlign w:val="bottom"/>
          </w:tcPr>
          <w:p>
            <w:pPr>
              <w:spacing w:after="0"/>
              <w:rPr>
                <w:sz w:val="19"/>
                <w:szCs w:val="19"/>
                <w:color w:val="auto"/>
              </w:rPr>
            </w:pPr>
          </w:p>
        </w:tc>
      </w:tr>
      <w:tr>
        <w:trPr>
          <w:trHeight w:val="230"/>
        </w:trPr>
        <w:tc>
          <w:tcPr>
            <w:tcW w:w="5580" w:type="dxa"/>
            <w:vAlign w:val="bottom"/>
          </w:tcPr>
          <w:p>
            <w:pPr>
              <w:spacing w:after="0"/>
              <w:rPr>
                <w:sz w:val="20"/>
                <w:szCs w:val="20"/>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601"/>
        </w:trPr>
        <w:tc>
          <w:tcPr>
            <w:tcW w:w="55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13.2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jc w:val="center"/>
        <w:spacing w:after="0" w:line="230" w:lineRule="auto"/>
        <w:rPr>
          <w:sz w:val="20"/>
          <w:szCs w:val="20"/>
          <w:color w:val="auto"/>
        </w:rPr>
      </w:pPr>
      <w:r>
        <w:rPr>
          <w:rFonts w:ascii="Arial" w:cs="Arial" w:eastAsia="Arial" w:hAnsi="Arial"/>
          <w:sz w:val="22"/>
          <w:szCs w:val="22"/>
          <w:b w:val="1"/>
          <w:bCs w:val="1"/>
          <w:color w:val="auto"/>
        </w:rPr>
        <w:t>18 U.S.C. SECTION 1350,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ind w:right="260"/>
        <w:spacing w:after="0" w:line="297" w:lineRule="auto"/>
        <w:rPr>
          <w:sz w:val="20"/>
          <w:szCs w:val="20"/>
          <w:color w:val="auto"/>
        </w:rPr>
      </w:pPr>
      <w:r>
        <w:rPr>
          <w:rFonts w:ascii="Arial" w:cs="Arial" w:eastAsia="Arial" w:hAnsi="Arial"/>
          <w:sz w:val="19"/>
          <w:szCs w:val="19"/>
          <w:color w:val="auto"/>
        </w:rPr>
        <w:t>The certification set forth below is being submitted in connection with GH Research PLC’s annual report on Form 20-F for the year ended December 31, 2021 (the “Report”) for the purpose of complying with Rule 13a-14(b) or Rule 15d-14(b) of the Securities Exchange Act of 1934 (the “Exchange Act”) and Section 1350 of Chapter 63 of Title 18 of the United States Code.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I, Julie Ryan, the Vice President, Finance of GH Research PLC, certify that:</w:t>
      </w:r>
    </w:p>
    <w:p>
      <w:pPr>
        <w:spacing w:after="0" w:line="240" w:lineRule="exact"/>
        <w:rPr>
          <w:sz w:val="20"/>
          <w:szCs w:val="20"/>
          <w:color w:val="auto"/>
        </w:rPr>
      </w:pPr>
    </w:p>
    <w:p>
      <w:pPr>
        <w:ind w:left="820" w:hanging="326"/>
        <w:spacing w:after="0"/>
        <w:tabs>
          <w:tab w:leader="none" w:pos="8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52"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GH Research PLC.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Arial" w:cs="Arial" w:eastAsia="Arial" w:hAnsi="Arial"/>
                <w:sz w:val="18"/>
                <w:szCs w:val="18"/>
                <w:color w:val="auto"/>
              </w:rPr>
              <w:t>Date: March 28, 2022</w:t>
            </w:r>
          </w:p>
        </w:tc>
        <w:tc>
          <w:tcPr>
            <w:tcW w:w="5620" w:type="dxa"/>
            <w:vAlign w:val="bottom"/>
            <w:gridSpan w:val="2"/>
          </w:tcPr>
          <w:p>
            <w:pPr>
              <w:spacing w:after="0"/>
              <w:rPr>
                <w:sz w:val="20"/>
                <w:szCs w:val="20"/>
                <w:color w:val="auto"/>
              </w:rPr>
            </w:pPr>
            <w:r>
              <w:rPr>
                <w:rFonts w:ascii="Arial" w:cs="Arial" w:eastAsia="Arial" w:hAnsi="Arial"/>
                <w:sz w:val="18"/>
                <w:szCs w:val="18"/>
                <w:color w:val="auto"/>
              </w:rPr>
              <w:t>/s/ Julie Ryan</w:t>
            </w:r>
          </w:p>
        </w:tc>
      </w:tr>
      <w:tr>
        <w:trPr>
          <w:trHeight w:val="222"/>
        </w:trPr>
        <w:tc>
          <w:tcPr>
            <w:tcW w:w="5620" w:type="dxa"/>
            <w:vAlign w:val="bottom"/>
          </w:tcPr>
          <w:p>
            <w:pPr>
              <w:spacing w:after="0"/>
              <w:rPr>
                <w:sz w:val="19"/>
                <w:szCs w:val="19"/>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Julie Ryan</w:t>
            </w:r>
          </w:p>
        </w:tc>
        <w:tc>
          <w:tcPr>
            <w:tcW w:w="4660" w:type="dxa"/>
            <w:vAlign w:val="bottom"/>
          </w:tcPr>
          <w:p>
            <w:pPr>
              <w:spacing w:after="0"/>
              <w:rPr>
                <w:sz w:val="19"/>
                <w:szCs w:val="19"/>
                <w:color w:val="auto"/>
              </w:rPr>
            </w:pPr>
          </w:p>
        </w:tc>
      </w:tr>
      <w:tr>
        <w:trPr>
          <w:trHeight w:val="230"/>
        </w:trPr>
        <w:tc>
          <w:tcPr>
            <w:tcW w:w="56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Vice President, Finance</w:t>
            </w:r>
          </w:p>
        </w:tc>
      </w:tr>
      <w:tr>
        <w:trPr>
          <w:trHeight w:val="601"/>
        </w:trPr>
        <w:tc>
          <w:tcPr>
            <w:tcW w:w="5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94410" cy="7969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99441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Lausanne, March 28,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read the statements made by GH Research PLC pursuant to Item 16F(a) of Form 20-F (copy attached), which we understand will be filed with the Securities and Exchange Commission on Form 20-F of GH Research PLC, dated March 28, 2022. We agree with the statements concerning our Firm contained therein.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Attachment</w:t>
      </w:r>
    </w:p>
    <w:p>
      <w:pPr>
        <w:spacing w:after="0" w:line="211" w:lineRule="exact"/>
        <w:rPr>
          <w:sz w:val="20"/>
          <w:szCs w:val="20"/>
          <w:color w:val="auto"/>
        </w:rPr>
      </w:pPr>
    </w:p>
    <w:p>
      <w:pPr>
        <w:ind w:right="5240"/>
        <w:spacing w:after="0" w:line="291" w:lineRule="auto"/>
        <w:rPr>
          <w:sz w:val="20"/>
          <w:szCs w:val="20"/>
          <w:color w:val="auto"/>
        </w:rPr>
      </w:pPr>
      <w:r>
        <w:rPr>
          <w:rFonts w:ascii="Arial" w:cs="Arial" w:eastAsia="Arial" w:hAnsi="Arial"/>
          <w:sz w:val="16"/>
          <w:szCs w:val="16"/>
          <w:i w:val="1"/>
          <w:iCs w:val="1"/>
          <w:color w:val="auto"/>
        </w:rPr>
        <w:t>PricewaterhouseCoopers SA, avenue C.-F. Ramuz 45, case postale, 1001 Lausanne Téléphone : +41 58 792 81 00, téléfax : +41 58 792 81 10, www.pwc.ch</w:t>
      </w:r>
    </w:p>
    <w:p>
      <w:pPr>
        <w:spacing w:after="0"/>
        <w:rPr>
          <w:sz w:val="20"/>
          <w:szCs w:val="20"/>
          <w:color w:val="auto"/>
        </w:rPr>
      </w:pPr>
      <w:r>
        <w:rPr>
          <w:rFonts w:ascii="Arial" w:cs="Arial" w:eastAsia="Arial" w:hAnsi="Arial"/>
          <w:sz w:val="18"/>
          <w:szCs w:val="18"/>
          <w:color w:val="auto"/>
        </w:rPr>
        <w:t>PricewaterhouseCoopers SA est membre d'un réseau mondial de sociétés juridiquement autonomes et indépendantes les unes des autres.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color w:val="auto"/>
        </w:rPr>
        <w:t>Change in Registrant’s Certifying Accountant</w:t>
      </w:r>
      <w:r>
        <w:rPr>
          <w:rFonts w:ascii="Arial" w:cs="Arial" w:eastAsia="Arial" w:hAnsi="Arial"/>
          <w:sz w:val="18"/>
          <w:szCs w:val="18"/>
          <w:color w:val="auto"/>
        </w:rPr>
        <w:t>.</w:t>
      </w:r>
    </w:p>
    <w:p>
      <w:pPr>
        <w:spacing w:after="0" w:line="256"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As previously disclosed in our current report on Form 6-K furnished on November 22, 2021, following GH Research PLC’s initial public offering and related corporate reorganization as an Irish PLC, on August 24, 2021, we agreed that PricewaterhouseCoopers (referred to herein as PwC Ireland), the Irish member firm of PricewaterhouseCoopers International Limited, would succeed PricewaterhouseCoopers SA as our independent registered public accounting firm and, accordingly, we dismissed PricewaterhouseCoopers SA. The decision to change our independent registered public accounting firm was approved by our audit committee.</w:t>
      </w:r>
    </w:p>
    <w:p>
      <w:pPr>
        <w:spacing w:after="0" w:line="215" w:lineRule="exact"/>
        <w:rPr>
          <w:sz w:val="20"/>
          <w:szCs w:val="20"/>
          <w:color w:val="auto"/>
        </w:rPr>
      </w:pPr>
    </w:p>
    <w:p>
      <w:pPr>
        <w:ind w:right="160" w:firstLine="360"/>
        <w:spacing w:after="0" w:line="263" w:lineRule="auto"/>
        <w:rPr>
          <w:sz w:val="20"/>
          <w:szCs w:val="20"/>
          <w:color w:val="auto"/>
        </w:rPr>
      </w:pPr>
      <w:r>
        <w:rPr>
          <w:rFonts w:ascii="Arial" w:cs="Arial" w:eastAsia="Arial" w:hAnsi="Arial"/>
          <w:sz w:val="18"/>
          <w:szCs w:val="18"/>
          <w:color w:val="auto"/>
        </w:rPr>
        <w:t>The report of PricewaterhouseCoopers SA on the financial statements of GH Research Ireland Limited for the fiscal years ended December 31, 2020 and 2019 did not contain an adverse opinion or disclaimer of opinion and was not qualified or modified as to uncertainty, audit scope or accounting principles.</w:t>
      </w:r>
    </w:p>
    <w:p>
      <w:pPr>
        <w:spacing w:after="0" w:line="211"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During the fiscal years ended December 31, 2020 and 2019 and the subsequent interim period through August 24, 2021, there have been no disagreements with PricewaterhouseCoopers SA on any matter of accounting principles or practices, financial statement disclosure, or auditing scope or procedure, which disagreements, if not resolved to the satisfaction of PricewaterhouseCoopers SA, would have caused it to make reference thereto in their report on the financial statements for such years.</w:t>
      </w:r>
    </w:p>
    <w:p>
      <w:pPr>
        <w:spacing w:after="0" w:line="214"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During the fiscal years ended December 31, 2020 and 2019 and the subsequent interim period through August 24, 2021 , there were “reportable events” as that term is defined in Item 16F(a)(1)(v)(A)-(D) of Form 20-F, as follows: material weaknesses were identified that related to the lack of a sufficient number of trained professionals with an appropriate level of accounting knowledge training and experience to: (a) design and maintain formal accounting policies, procedures and controls over the fair presentation of our financial statements; and (b) design and maintain controls over the preparation and review of account reconciliations, journal entries and financial statements, including maintaining appropriate segregation of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1."/>
      <w:numFmt w:val="upperLetter"/>
      <w:start w:val="1"/>
    </w:lvl>
  </w:abstractNum>
  <w:abstractNum w:abstractNumId="10">
    <w:nsid w:val="1A32234B"/>
    <w:multiLevelType w:val="hybridMultilevel"/>
    <w:lvl w:ilvl="0">
      <w:lvlJc w:val="left"/>
      <w:lvlText w:val="%1."/>
      <w:numFmt w:val="upperLetter"/>
      <w:start w:val="1"/>
    </w:lvl>
  </w:abstractNum>
  <w:abstractNum w:abstractNumId="11">
    <w:nsid w:val="3B0FD379"/>
    <w:multiLevelType w:val="hybridMultilevel"/>
    <w:lvl w:ilvl="0">
      <w:lvlJc w:val="left"/>
      <w:lvlText w:val="%1."/>
      <w:numFmt w:val="upperLetter"/>
      <w:start w:val="1"/>
    </w:lvl>
  </w:abstractNum>
  <w:abstractNum w:abstractNumId="12">
    <w:nsid w:val="68EB2F63"/>
    <w:multiLevelType w:val="hybridMultilevel"/>
    <w:lvl w:ilvl="0">
      <w:lvlJc w:val="left"/>
      <w:lvlText w:val="•"/>
      <w:numFmt w:val="bullet"/>
      <w:start w:val="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
      <w:numFmt w:val="bullet"/>
      <w:start w:val="1"/>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
      <w:numFmt w:val="bullet"/>
      <w:start w:val="1"/>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
      <w:numFmt w:val="bullet"/>
      <w:start w:val="1"/>
    </w:lvl>
  </w:abstractNum>
  <w:abstractNum w:abstractNumId="30">
    <w:nsid w:val="3222E7CD"/>
    <w:multiLevelType w:val="hybridMultilevel"/>
    <w:lvl w:ilvl="0">
      <w:lvlJc w:val="left"/>
      <w:lvlText w:val="•"/>
      <w:numFmt w:val="bullet"/>
      <w:start w:val="1"/>
    </w:lvl>
  </w:abstractNum>
  <w:abstractNum w:abstractNumId="31">
    <w:nsid w:val="74DE0EE3"/>
    <w:multiLevelType w:val="hybridMultilevel"/>
    <w:lvl w:ilvl="0">
      <w:lvlJc w:val="left"/>
      <w:lvlText w:val="•"/>
      <w:numFmt w:val="bullet"/>
      <w:start w:val="1"/>
    </w:lvl>
  </w:abstractNum>
  <w:abstractNum w:abstractNumId="32">
    <w:nsid w:val="68EBC550"/>
    <w:multiLevelType w:val="hybridMultilevel"/>
    <w:lvl w:ilvl="0">
      <w:lvlJc w:val="left"/>
      <w:lvlText w:val="•"/>
      <w:numFmt w:val="bullet"/>
      <w:start w:val="1"/>
    </w:lvl>
  </w:abstractNum>
  <w:abstractNum w:abstractNumId="33">
    <w:nsid w:val="2DF6D648"/>
    <w:multiLevelType w:val="hybridMultilevel"/>
    <w:lvl w:ilvl="0">
      <w:lvlJc w:val="left"/>
      <w:lvlText w:val="•"/>
      <w:numFmt w:val="bullet"/>
      <w:start w:val="1"/>
    </w:lvl>
  </w:abstractNum>
  <w:abstractNum w:abstractNumId="34">
    <w:nsid w:val="46B7D447"/>
    <w:multiLevelType w:val="hybridMultilevel"/>
    <w:lvl w:ilvl="0">
      <w:lvlJc w:val="left"/>
      <w:lvlText w:val="•"/>
      <w:numFmt w:val="bullet"/>
      <w:start w:val="1"/>
    </w:lvl>
  </w:abstractNum>
  <w:abstractNum w:abstractNumId="35">
    <w:nsid w:val="4A2AC315"/>
    <w:multiLevelType w:val="hybridMultilevel"/>
    <w:lvl w:ilvl="0">
      <w:lvlJc w:val="left"/>
      <w:lvlText w:val="•"/>
      <w:numFmt w:val="bullet"/>
      <w:start w:val="1"/>
    </w:lvl>
  </w:abstractNum>
  <w:abstractNum w:abstractNumId="36">
    <w:nsid w:val="39EE015C"/>
    <w:multiLevelType w:val="hybridMultilevel"/>
    <w:lvl w:ilvl="0">
      <w:lvlJc w:val="left"/>
      <w:lvlText w:val="•"/>
      <w:numFmt w:val="bullet"/>
      <w:start w:val="1"/>
    </w:lvl>
  </w:abstractNum>
  <w:abstractNum w:abstractNumId="37">
    <w:nsid w:val="57FC4FBB"/>
    <w:multiLevelType w:val="hybridMultilevel"/>
    <w:lvl w:ilvl="0">
      <w:lvlJc w:val="left"/>
      <w:lvlText w:val="•"/>
      <w:numFmt w:val="bullet"/>
      <w:start w:val="1"/>
    </w:lvl>
  </w:abstractNum>
  <w:abstractNum w:abstractNumId="38">
    <w:nsid w:val="CC1016F"/>
    <w:multiLevelType w:val="hybridMultilevel"/>
    <w:lvl w:ilvl="0">
      <w:lvlJc w:val="left"/>
      <w:lvlText w:val="•"/>
      <w:numFmt w:val="bullet"/>
      <w:start w:val="1"/>
    </w:lvl>
  </w:abstractNum>
  <w:abstractNum w:abstractNumId="39">
    <w:nsid w:val="43F18422"/>
    <w:multiLevelType w:val="hybridMultilevel"/>
    <w:lvl w:ilvl="0">
      <w:lvlJc w:val="left"/>
      <w:lvlText w:val="•"/>
      <w:numFmt w:val="bullet"/>
      <w:start w:val="1"/>
    </w:lvl>
  </w:abstractNum>
  <w:abstractNum w:abstractNumId="40">
    <w:nsid w:val="60EF0119"/>
    <w:multiLevelType w:val="hybridMultilevel"/>
    <w:lvl w:ilvl="0">
      <w:lvlJc w:val="left"/>
      <w:lvlText w:val="•"/>
      <w:numFmt w:val="bullet"/>
      <w:start w:val="1"/>
    </w:lvl>
  </w:abstractNum>
  <w:abstractNum w:abstractNumId="41">
    <w:nsid w:val="26F324BA"/>
    <w:multiLevelType w:val="hybridMultilevel"/>
    <w:lvl w:ilvl="0">
      <w:lvlJc w:val="left"/>
      <w:lvlText w:val="•"/>
      <w:numFmt w:val="bullet"/>
      <w:start w:val="1"/>
    </w:lvl>
  </w:abstractNum>
  <w:abstractNum w:abstractNumId="42">
    <w:nsid w:val="7F01579B"/>
    <w:multiLevelType w:val="hybridMultilevel"/>
    <w:lvl w:ilvl="0">
      <w:lvlJc w:val="left"/>
      <w:lvlText w:val="•"/>
      <w:numFmt w:val="bullet"/>
      <w:start w:val="1"/>
    </w:lvl>
  </w:abstractNum>
  <w:abstractNum w:abstractNumId="43">
    <w:nsid w:val="49DA307D"/>
    <w:multiLevelType w:val="hybridMultilevel"/>
    <w:lvl w:ilvl="0">
      <w:lvlJc w:val="left"/>
      <w:lvlText w:val="•"/>
      <w:numFmt w:val="bullet"/>
      <w:start w:val="1"/>
    </w:lvl>
  </w:abstractNum>
  <w:abstractNum w:abstractNumId="44">
    <w:nsid w:val="7055A5F5"/>
    <w:multiLevelType w:val="hybridMultilevel"/>
    <w:lvl w:ilvl="0">
      <w:lvlJc w:val="left"/>
      <w:lvlText w:val="•"/>
      <w:numFmt w:val="bullet"/>
      <w:start w:val="1"/>
    </w:lvl>
  </w:abstractNum>
  <w:abstractNum w:abstractNumId="45">
    <w:nsid w:val="5FB8370B"/>
    <w:multiLevelType w:val="hybridMultilevel"/>
    <w:lvl w:ilvl="0">
      <w:lvlJc w:val="left"/>
      <w:lvlText w:val="•"/>
      <w:numFmt w:val="bullet"/>
      <w:start w:val="1"/>
    </w:lvl>
  </w:abstractNum>
  <w:abstractNum w:abstractNumId="46">
    <w:nsid w:val="50801EE1"/>
    <w:multiLevelType w:val="hybridMultilevel"/>
    <w:lvl w:ilvl="0">
      <w:lvlJc w:val="left"/>
      <w:lvlText w:val="•"/>
      <w:numFmt w:val="bullet"/>
      <w:start w:val="1"/>
    </w:lvl>
  </w:abstractNum>
  <w:abstractNum w:abstractNumId="47">
    <w:nsid w:val="488AC1A"/>
    <w:multiLevelType w:val="hybridMultilevel"/>
    <w:lvl w:ilvl="0">
      <w:lvlJc w:val="left"/>
      <w:lvlText w:val="•"/>
      <w:numFmt w:val="bullet"/>
      <w:start w:val="1"/>
    </w:lvl>
  </w:abstractNum>
  <w:abstractNum w:abstractNumId="48">
    <w:nsid w:val="5FB8011C"/>
    <w:multiLevelType w:val="hybridMultilevel"/>
    <w:lvl w:ilvl="0">
      <w:lvlJc w:val="left"/>
      <w:lvlText w:val="•"/>
      <w:numFmt w:val="bullet"/>
      <w:start w:val="1"/>
    </w:lvl>
  </w:abstractNum>
  <w:abstractNum w:abstractNumId="49">
    <w:nsid w:val="6AA78F7F"/>
    <w:multiLevelType w:val="hybridMultilevel"/>
    <w:lvl w:ilvl="0">
      <w:lvlJc w:val="left"/>
      <w:lvlText w:val="(%1)"/>
      <w:numFmt w:val="decimal"/>
      <w:start w:val="3"/>
    </w:lvl>
  </w:abstractNum>
  <w:abstractNum w:abstractNumId="50">
    <w:nsid w:val="7672BD23"/>
    <w:multiLevelType w:val="hybridMultilevel"/>
    <w:lvl w:ilvl="0">
      <w:lvlJc w:val="left"/>
      <w:lvlText w:val="•"/>
      <w:numFmt w:val="bullet"/>
      <w:start w:val="1"/>
    </w:lvl>
  </w:abstractNum>
  <w:abstractNum w:abstractNumId="51">
    <w:nsid w:val="6FC75AF8"/>
    <w:multiLevelType w:val="hybridMultilevel"/>
    <w:lvl w:ilvl="0">
      <w:lvlJc w:val="left"/>
      <w:lvlText w:val="•"/>
      <w:numFmt w:val="bullet"/>
      <w:start w:val="1"/>
    </w:lvl>
  </w:abstractNum>
  <w:abstractNum w:abstractNumId="52">
    <w:nsid w:val="6A5F7029"/>
    <w:multiLevelType w:val="hybridMultilevel"/>
    <w:lvl w:ilvl="0">
      <w:lvlJc w:val="left"/>
      <w:lvlText w:val="•"/>
      <w:numFmt w:val="bullet"/>
      <w:start w:val="1"/>
    </w:lvl>
  </w:abstractNum>
  <w:abstractNum w:abstractNumId="53">
    <w:nsid w:val="7D5E18F8"/>
    <w:multiLevelType w:val="hybridMultilevel"/>
    <w:lvl w:ilvl="0">
      <w:lvlJc w:val="left"/>
      <w:lvlText w:val="•"/>
      <w:numFmt w:val="bullet"/>
      <w:start w:val="1"/>
    </w:lvl>
  </w:abstractNum>
  <w:abstractNum w:abstractNumId="54">
    <w:nsid w:val="5F3534A4"/>
    <w:multiLevelType w:val="hybridMultilevel"/>
    <w:lvl w:ilvl="0">
      <w:lvlJc w:val="left"/>
      <w:lvlText w:val="•"/>
      <w:numFmt w:val="bullet"/>
      <w:start w:val="1"/>
    </w:lvl>
  </w:abstractNum>
  <w:abstractNum w:abstractNumId="55">
    <w:nsid w:val="73A1821B"/>
    <w:multiLevelType w:val="hybridMultilevel"/>
    <w:lvl w:ilvl="0">
      <w:lvlJc w:val="left"/>
      <w:lvlText w:val="•"/>
      <w:numFmt w:val="bullet"/>
      <w:start w:val="1"/>
    </w:lvl>
  </w:abstractNum>
  <w:abstractNum w:abstractNumId="56">
    <w:nsid w:val="7DE67713"/>
    <w:multiLevelType w:val="hybridMultilevel"/>
    <w:lvl w:ilvl="0">
      <w:lvlJc w:val="left"/>
      <w:lvlText w:val="•"/>
      <w:numFmt w:val="bullet"/>
      <w:start w:val="1"/>
    </w:lvl>
  </w:abstractNum>
  <w:abstractNum w:abstractNumId="57">
    <w:nsid w:val="555C55B5"/>
    <w:multiLevelType w:val="hybridMultilevel"/>
    <w:lvl w:ilvl="0">
      <w:lvlJc w:val="left"/>
      <w:lvlText w:val="•"/>
      <w:numFmt w:val="bullet"/>
      <w:start w:val="1"/>
    </w:lvl>
  </w:abstractNum>
  <w:abstractNum w:abstractNumId="58">
    <w:nsid w:val="3FA62ACA"/>
    <w:multiLevelType w:val="hybridMultilevel"/>
    <w:lvl w:ilvl="0">
      <w:lvlJc w:val="left"/>
      <w:lvlText w:val="•"/>
      <w:numFmt w:val="bullet"/>
      <w:start w:val="1"/>
    </w:lvl>
  </w:abstractNum>
  <w:abstractNum w:abstractNumId="59">
    <w:nsid w:val="14FCE74E"/>
    <w:multiLevelType w:val="hybridMultilevel"/>
    <w:lvl w:ilvl="0">
      <w:lvlJc w:val="left"/>
      <w:lvlText w:val="%1."/>
      <w:numFmt w:val="decimal"/>
      <w:start w:val="1"/>
    </w:lvl>
  </w:abstractNum>
  <w:abstractNum w:abstractNumId="60">
    <w:nsid w:val="6A3DD3E8"/>
    <w:multiLevelType w:val="hybridMultilevel"/>
    <w:lvl w:ilvl="0">
      <w:lvlJc w:val="left"/>
      <w:lvlText w:val="%1)"/>
      <w:numFmt w:val="decimal"/>
      <w:start w:val="201"/>
    </w:lvl>
  </w:abstractNum>
  <w:abstractNum w:abstractNumId="61">
    <w:nsid w:val="71C91298"/>
    <w:multiLevelType w:val="hybridMultilevel"/>
    <w:lvl w:ilvl="0">
      <w:lvlJc w:val="left"/>
      <w:lvlText w:val="•"/>
      <w:numFmt w:val="bullet"/>
      <w:start w:val="1"/>
    </w:lvl>
  </w:abstractNum>
  <w:abstractNum w:abstractNumId="62">
    <w:nsid w:val="9DAF632"/>
    <w:multiLevelType w:val="hybridMultilevel"/>
    <w:lvl w:ilvl="0">
      <w:lvlJc w:val="left"/>
      <w:lvlText w:val="•"/>
      <w:numFmt w:val="bullet"/>
      <w:start w:val="1"/>
    </w:lvl>
  </w:abstractNum>
  <w:abstractNum w:abstractNumId="63">
    <w:nsid w:val="53299938"/>
    <w:multiLevelType w:val="hybridMultilevel"/>
    <w:lvl w:ilvl="0">
      <w:lvlJc w:val="left"/>
      <w:lvlText w:val="•"/>
      <w:numFmt w:val="bullet"/>
      <w:start w:val="1"/>
    </w:lvl>
  </w:abstractNum>
  <w:abstractNum w:abstractNumId="64">
    <w:nsid w:val="1FBFE8E0"/>
    <w:multiLevelType w:val="hybridMultilevel"/>
    <w:lvl w:ilvl="0">
      <w:lvlJc w:val="left"/>
      <w:lvlText w:val="•"/>
      <w:numFmt w:val="bullet"/>
      <w:start w:val="1"/>
    </w:lvl>
  </w:abstractNum>
  <w:abstractNum w:abstractNumId="65">
    <w:nsid w:val="5092CA79"/>
    <w:multiLevelType w:val="hybridMultilevel"/>
    <w:lvl w:ilvl="0">
      <w:lvlJc w:val="left"/>
      <w:lvlText w:val="•"/>
      <w:numFmt w:val="bullet"/>
      <w:start w:val="1"/>
    </w:lvl>
  </w:abstractNum>
  <w:abstractNum w:abstractNumId="66">
    <w:nsid w:val="1D545C4D"/>
    <w:multiLevelType w:val="hybridMultilevel"/>
    <w:lvl w:ilvl="0">
      <w:lvlJc w:val="left"/>
      <w:lvlText w:val="•"/>
      <w:numFmt w:val="bullet"/>
      <w:start w:val="1"/>
    </w:lvl>
  </w:abstractNum>
  <w:abstractNum w:abstractNumId="67">
    <w:nsid w:val="59ADEA3D"/>
    <w:multiLevelType w:val="hybridMultilevel"/>
    <w:lvl w:ilvl="0">
      <w:lvlJc w:val="left"/>
      <w:lvlText w:val="•"/>
      <w:numFmt w:val="bullet"/>
      <w:start w:val="1"/>
    </w:lvl>
  </w:abstractNum>
  <w:abstractNum w:abstractNumId="68">
    <w:nsid w:val="288F1A34"/>
    <w:multiLevelType w:val="hybridMultilevel"/>
    <w:lvl w:ilvl="0">
      <w:lvlJc w:val="left"/>
      <w:lvlText w:val="•"/>
      <w:numFmt w:val="bullet"/>
      <w:start w:val="1"/>
    </w:lvl>
  </w:abstractNum>
  <w:abstractNum w:abstractNumId="69">
    <w:nsid w:val="2A155DBC"/>
    <w:multiLevelType w:val="hybridMultilevel"/>
    <w:lvl w:ilvl="0">
      <w:lvlJc w:val="left"/>
      <w:lvlText w:val="•"/>
      <w:numFmt w:val="bullet"/>
      <w:start w:val="1"/>
    </w:lvl>
  </w:abstractNum>
  <w:abstractNum w:abstractNumId="70">
    <w:nsid w:val="1D9F6E5F"/>
    <w:multiLevelType w:val="hybridMultilevel"/>
    <w:lvl w:ilvl="0">
      <w:lvlJc w:val="left"/>
      <w:lvlText w:val="•"/>
      <w:numFmt w:val="bullet"/>
      <w:start w:val="1"/>
    </w:lvl>
  </w:abstractNum>
  <w:abstractNum w:abstractNumId="71">
    <w:nsid w:val="97E1B4E"/>
    <w:multiLevelType w:val="hybridMultilevel"/>
    <w:lvl w:ilvl="0">
      <w:lvlJc w:val="left"/>
      <w:lvlText w:val="%1."/>
      <w:numFmt w:val="upperLetter"/>
      <w:start w:val="4"/>
    </w:lvl>
  </w:abstractNum>
  <w:abstractNum w:abstractNumId="72">
    <w:nsid w:val="51088277"/>
    <w:multiLevelType w:val="hybridMultilevel"/>
    <w:lvl w:ilvl="0">
      <w:lvlJc w:val="left"/>
      <w:lvlText w:val="%1."/>
      <w:numFmt w:val="upperLetter"/>
      <w:start w:val="1"/>
    </w:lvl>
  </w:abstractNum>
  <w:abstractNum w:abstractNumId="73">
    <w:nsid w:val="1CA0C5FA"/>
    <w:multiLevelType w:val="hybridMultilevel"/>
    <w:lvl w:ilvl="0">
      <w:lvlJc w:val="left"/>
      <w:lvlText w:val="•"/>
      <w:numFmt w:val="bullet"/>
      <w:start w:val="1"/>
    </w:lvl>
  </w:abstractNum>
  <w:abstractNum w:abstractNumId="74">
    <w:nsid w:val="53584BCB"/>
    <w:multiLevelType w:val="hybridMultilevel"/>
    <w:lvl w:ilvl="0">
      <w:lvlJc w:val="left"/>
      <w:lvlText w:val="•"/>
      <w:numFmt w:val="bullet"/>
      <w:start w:val="1"/>
    </w:lvl>
  </w:abstractNum>
  <w:abstractNum w:abstractNumId="75">
    <w:nsid w:val="415E286C"/>
    <w:multiLevelType w:val="hybridMultilevel"/>
    <w:lvl w:ilvl="0">
      <w:lvlJc w:val="left"/>
      <w:lvlText w:val="•"/>
      <w:numFmt w:val="bullet"/>
      <w:start w:val="1"/>
    </w:lvl>
  </w:abstractNum>
  <w:abstractNum w:abstractNumId="76">
    <w:nsid w:val="7C58FD05"/>
    <w:multiLevelType w:val="hybridMultilevel"/>
    <w:lvl w:ilvl="0">
      <w:lvlJc w:val="left"/>
      <w:lvlText w:val="•"/>
      <w:numFmt w:val="bullet"/>
      <w:start w:val="1"/>
    </w:lvl>
  </w:abstractNum>
  <w:abstractNum w:abstractNumId="77">
    <w:nsid w:val="23D86AAC"/>
    <w:multiLevelType w:val="hybridMultilevel"/>
    <w:lvl w:ilvl="0">
      <w:lvlJc w:val="left"/>
      <w:lvlText w:val="•"/>
      <w:numFmt w:val="bullet"/>
      <w:start w:val="1"/>
    </w:lvl>
  </w:abstractNum>
  <w:abstractNum w:abstractNumId="78">
    <w:nsid w:val="45E6D486"/>
    <w:multiLevelType w:val="hybridMultilevel"/>
    <w:lvl w:ilvl="0">
      <w:lvlJc w:val="left"/>
      <w:lvlText w:val="•"/>
      <w:numFmt w:val="bullet"/>
      <w:start w:val="1"/>
    </w:lvl>
  </w:abstractNum>
  <w:abstractNum w:abstractNumId="79">
    <w:nsid w:val="5C10FE21"/>
    <w:multiLevelType w:val="hybridMultilevel"/>
    <w:lvl w:ilvl="0">
      <w:lvlJc w:val="left"/>
      <w:lvlText w:val="(%1)"/>
      <w:numFmt w:val="decimal"/>
      <w:start w:val="1"/>
    </w:lvl>
  </w:abstractNum>
  <w:abstractNum w:abstractNumId="80">
    <w:nsid w:val="E7FFA2B"/>
    <w:multiLevelType w:val="hybridMultilevel"/>
    <w:lvl w:ilvl="0">
      <w:lvlJc w:val="left"/>
      <w:lvlText w:val="(%1)"/>
      <w:numFmt w:val="decimal"/>
      <w:start w:val="1"/>
    </w:lvl>
  </w:abstractNum>
  <w:abstractNum w:abstractNumId="81">
    <w:nsid w:val="3C5991AA"/>
    <w:multiLevelType w:val="hybridMultilevel"/>
    <w:lvl w:ilvl="0">
      <w:lvlJc w:val="left"/>
      <w:lvlText w:val="%1."/>
      <w:numFmt w:val="upperLetter"/>
      <w:start w:val="2"/>
    </w:lvl>
  </w:abstractNum>
  <w:abstractNum w:abstractNumId="82">
    <w:nsid w:val="4BD8591A"/>
    <w:multiLevelType w:val="hybridMultilevel"/>
    <w:lvl w:ilvl="0">
      <w:lvlJc w:val="left"/>
      <w:lvlText w:val="•"/>
      <w:numFmt w:val="bullet"/>
      <w:start w:val="1"/>
    </w:lvl>
  </w:abstractNum>
  <w:abstractNum w:abstractNumId="83">
    <w:nsid w:val="78DF6A55"/>
    <w:multiLevelType w:val="hybridMultilevel"/>
    <w:lvl w:ilvl="0">
      <w:lvlJc w:val="left"/>
      <w:lvlText w:val="•"/>
      <w:numFmt w:val="bullet"/>
      <w:start w:val="1"/>
    </w:lvl>
  </w:abstractNum>
  <w:abstractNum w:abstractNumId="84">
    <w:nsid w:val="39B7AAA2"/>
    <w:multiLevelType w:val="hybridMultilevel"/>
    <w:lvl w:ilvl="0">
      <w:lvlJc w:val="left"/>
      <w:lvlText w:val="•"/>
      <w:numFmt w:val="bullet"/>
      <w:start w:val="1"/>
    </w:lvl>
  </w:abstractNum>
  <w:abstractNum w:abstractNumId="85">
    <w:nsid w:val="2B0D8DBE"/>
    <w:multiLevelType w:val="hybridMultilevel"/>
    <w:lvl w:ilvl="0">
      <w:lvlJc w:val="left"/>
      <w:lvlText w:val="•"/>
      <w:numFmt w:val="bullet"/>
      <w:start w:val="1"/>
    </w:lvl>
  </w:abstractNum>
  <w:abstractNum w:abstractNumId="86">
    <w:nsid w:val="6C80EC70"/>
    <w:multiLevelType w:val="hybridMultilevel"/>
    <w:lvl w:ilvl="0">
      <w:lvlJc w:val="left"/>
      <w:lvlText w:val="%1."/>
      <w:numFmt w:val="upperLetter"/>
      <w:start w:val="4"/>
    </w:lvl>
  </w:abstractNum>
  <w:abstractNum w:abstractNumId="87">
    <w:nsid w:val="379E21B5"/>
    <w:multiLevelType w:val="hybridMultilevel"/>
    <w:lvl w:ilvl="0">
      <w:lvlJc w:val="left"/>
      <w:lvlText w:val="(%1)"/>
      <w:numFmt w:val="decimal"/>
      <w:start w:val="2"/>
    </w:lvl>
  </w:abstractNum>
  <w:abstractNum w:abstractNumId="88">
    <w:nsid w:val="69E373"/>
    <w:multiLevelType w:val="hybridMultilevel"/>
    <w:lvl w:ilvl="0">
      <w:lvlJc w:val="left"/>
      <w:lvlText w:val="(%1)"/>
      <w:numFmt w:val="decimal"/>
      <w:start w:val="4"/>
    </w:lvl>
  </w:abstractNum>
  <w:abstractNum w:abstractNumId="89">
    <w:nsid w:val="2C27173B"/>
    <w:multiLevelType w:val="hybridMultilevel"/>
    <w:lvl w:ilvl="0">
      <w:lvlJc w:val="left"/>
      <w:lvlText w:val="•"/>
      <w:numFmt w:val="bullet"/>
      <w:start w:val="1"/>
    </w:lvl>
  </w:abstractNum>
  <w:abstractNum w:abstractNumId="90">
    <w:nsid w:val="4C9B0904"/>
    <w:multiLevelType w:val="hybridMultilevel"/>
    <w:lvl w:ilvl="0">
      <w:lvlJc w:val="left"/>
      <w:lvlText w:val="•"/>
      <w:numFmt w:val="bullet"/>
      <w:start w:val="1"/>
    </w:lvl>
  </w:abstractNum>
  <w:abstractNum w:abstractNumId="91">
    <w:nsid w:val="6AA7B75C"/>
    <w:multiLevelType w:val="hybridMultilevel"/>
    <w:lvl w:ilvl="0">
      <w:lvlJc w:val="left"/>
      <w:lvlText w:val="•"/>
      <w:numFmt w:val="bullet"/>
      <w:start w:val="1"/>
    </w:lvl>
  </w:abstractNum>
  <w:abstractNum w:abstractNumId="92">
    <w:nsid w:val="1DF029D3"/>
    <w:multiLevelType w:val="hybridMultilevel"/>
    <w:lvl w:ilvl="0">
      <w:lvlJc w:val="left"/>
      <w:lvlText w:val="%1."/>
      <w:numFmt w:val="upperLetter"/>
      <w:start w:val="1"/>
    </w:lvl>
    <w:lvl w:ilvl="1">
      <w:lvlJc w:val="left"/>
      <w:lvlText w:val="•"/>
      <w:numFmt w:val="bullet"/>
      <w:start w:val="1"/>
    </w:lvl>
  </w:abstractNum>
  <w:abstractNum w:abstractNumId="93">
    <w:nsid w:val="5675FF36"/>
    <w:multiLevelType w:val="hybridMultilevel"/>
    <w:lvl w:ilvl="0">
      <w:lvlJc w:val="left"/>
      <w:lvlText w:val="*"/>
      <w:numFmt w:val="bullet"/>
      <w:start w:val="1"/>
    </w:lvl>
  </w:abstractNum>
  <w:abstractNum w:abstractNumId="94">
    <w:nsid w:val="3DD15094"/>
    <w:multiLevelType w:val="hybridMultilevel"/>
    <w:lvl w:ilvl="0">
      <w:lvlJc w:val="left"/>
      <w:lvlText w:val="(%1)"/>
      <w:numFmt w:val="decimal"/>
      <w:start w:val="1"/>
    </w:lvl>
  </w:abstractNum>
  <w:abstractNum w:abstractNumId="95">
    <w:nsid w:val="3DB012B3"/>
    <w:multiLevelType w:val="hybridMultilevel"/>
    <w:lvl w:ilvl="0">
      <w:lvlJc w:val="left"/>
      <w:lvlText w:val="%1."/>
      <w:numFmt w:val="upperLetter"/>
      <w:start w:val="1"/>
    </w:lvl>
  </w:abstractNum>
  <w:abstractNum w:abstractNumId="96">
    <w:nsid w:val="2708C9AF"/>
    <w:multiLevelType w:val="hybridMultilevel"/>
    <w:lvl w:ilvl="0">
      <w:lvlJc w:val="left"/>
      <w:lvlText w:val="%1."/>
      <w:numFmt w:val="upperLetter"/>
      <w:start w:val="1"/>
    </w:lvl>
  </w:abstractNum>
  <w:abstractNum w:abstractNumId="97">
    <w:nsid w:val="5B25ACE2"/>
    <w:multiLevelType w:val="hybridMultilevel"/>
    <w:lvl w:ilvl="0">
      <w:lvlJc w:val="left"/>
      <w:lvlText w:val="%1."/>
      <w:numFmt w:val="upperLetter"/>
      <w:start w:val="4"/>
    </w:lvl>
  </w:abstractNum>
  <w:abstractNum w:abstractNumId="98">
    <w:nsid w:val="175DFCF0"/>
    <w:multiLevelType w:val="hybridMultilevel"/>
    <w:lvl w:ilvl="0">
      <w:lvlJc w:val="left"/>
      <w:lvlText w:val="•"/>
      <w:numFmt w:val="bullet"/>
      <w:start w:val="1"/>
    </w:lvl>
  </w:abstractNum>
  <w:abstractNum w:abstractNumId="99">
    <w:nsid w:val="4F97E3E4"/>
    <w:multiLevelType w:val="hybridMultilevel"/>
    <w:lvl w:ilvl="0">
      <w:lvlJc w:val="left"/>
      <w:lvlText w:val="•"/>
      <w:numFmt w:val="bullet"/>
      <w:start w:val="1"/>
    </w:lvl>
  </w:abstractNum>
  <w:abstractNum w:abstractNumId="100">
    <w:nsid w:val="53B0A9E"/>
    <w:multiLevelType w:val="hybridMultilevel"/>
    <w:lvl w:ilvl="0">
      <w:lvlJc w:val="left"/>
      <w:lvlText w:val="•"/>
      <w:numFmt w:val="bullet"/>
      <w:start w:val="1"/>
    </w:lvl>
  </w:abstractNum>
  <w:abstractNum w:abstractNumId="101">
    <w:nsid w:val="34FD6B4F"/>
    <w:multiLevelType w:val="hybridMultilevel"/>
    <w:lvl w:ilvl="0">
      <w:lvlJc w:val="left"/>
      <w:lvlText w:val="(%1)"/>
      <w:numFmt w:val="lowerRoman"/>
      <w:start w:val="3"/>
    </w:lvl>
  </w:abstractNum>
  <w:abstractNum w:abstractNumId="102">
    <w:nsid w:val="5915FF32"/>
    <w:multiLevelType w:val="hybridMultilevel"/>
    <w:lvl w:ilvl="0">
      <w:lvlJc w:val="left"/>
      <w:lvlText w:val="•"/>
      <w:numFmt w:val="bullet"/>
      <w:start w:val="1"/>
    </w:lvl>
  </w:abstractNum>
  <w:abstractNum w:abstractNumId="103">
    <w:nsid w:val="56438D15"/>
    <w:multiLevelType w:val="hybridMultilevel"/>
    <w:lvl w:ilvl="0">
      <w:lvlJc w:val="left"/>
      <w:lvlText w:val="%1."/>
      <w:numFmt w:val="upperLetter"/>
      <w:start w:val="6"/>
    </w:lvl>
  </w:abstractNum>
  <w:abstractNum w:abstractNumId="104">
    <w:nsid w:val="519E3149"/>
    <w:multiLevelType w:val="hybridMultilevel"/>
    <w:lvl w:ilvl="0">
      <w:lvlJc w:val="left"/>
      <w:lvlText w:val="%1."/>
      <w:numFmt w:val="upperLetter"/>
      <w:start w:val="9"/>
    </w:lvl>
  </w:abstractNum>
  <w:abstractNum w:abstractNumId="105">
    <w:nsid w:val="2C6E4AFD"/>
    <w:multiLevelType w:val="hybridMultilevel"/>
    <w:lvl w:ilvl="0">
      <w:lvlJc w:val="left"/>
      <w:lvlText w:val="•"/>
      <w:numFmt w:val="bullet"/>
      <w:start w:val="1"/>
    </w:lvl>
  </w:abstractNum>
  <w:abstractNum w:abstractNumId="106">
    <w:nsid w:val="17A1B582"/>
    <w:multiLevelType w:val="hybridMultilevel"/>
    <w:lvl w:ilvl="0">
      <w:lvlJc w:val="left"/>
      <w:lvlText w:val="•"/>
      <w:numFmt w:val="bullet"/>
      <w:start w:val="1"/>
    </w:lvl>
  </w:abstractNum>
  <w:abstractNum w:abstractNumId="107">
    <w:nsid w:val="4DF72E4E"/>
    <w:multiLevelType w:val="hybridMultilevel"/>
    <w:lvl w:ilvl="0">
      <w:lvlJc w:val="left"/>
      <w:lvlText w:val="*"/>
      <w:numFmt w:val="bullet"/>
      <w:start w:val="1"/>
    </w:lvl>
  </w:abstractNum>
  <w:abstractNum w:abstractNumId="108">
    <w:nsid w:val="5046B5A9"/>
    <w:multiLevelType w:val="hybridMultilevel"/>
    <w:lvl w:ilvl="0">
      <w:lvlJc w:val="left"/>
      <w:lvlText w:val="§"/>
      <w:numFmt w:val="bullet"/>
      <w:start w:val="1"/>
    </w:lvl>
  </w:abstractNum>
  <w:abstractNum w:abstractNumId="109">
    <w:nsid w:val="5D888A08"/>
    <w:multiLevelType w:val="hybridMultilevel"/>
    <w:lvl w:ilvl="0">
      <w:lvlJc w:val="left"/>
      <w:lvlText w:val="%1."/>
      <w:numFmt w:val="decimal"/>
      <w:start w:val="1"/>
    </w:lvl>
  </w:abstractNum>
  <w:abstractNum w:abstractNumId="110">
    <w:nsid w:val="2A082C70"/>
    <w:multiLevelType w:val="hybridMultilevel"/>
    <w:lvl w:ilvl="0">
      <w:lvlJc w:val="left"/>
      <w:lvlText w:val="%1."/>
      <w:numFmt w:val="decimal"/>
      <w:start w:val="2"/>
    </w:lvl>
  </w:abstractNum>
  <w:abstractNum w:abstractNumId="111">
    <w:nsid w:val="5EC6AFD4"/>
    <w:multiLevelType w:val="hybridMultilevel"/>
    <w:lvl w:ilvl="0">
      <w:lvlJc w:val="left"/>
      <w:lvlText w:val="%1."/>
      <w:numFmt w:val="decimal"/>
      <w:start w:val="3"/>
    </w:lvl>
  </w:abstractNum>
  <w:abstractNum w:abstractNumId="112">
    <w:nsid w:val="19E21BB2"/>
    <w:multiLevelType w:val="hybridMultilevel"/>
    <w:lvl w:ilvl="0">
      <w:lvlJc w:val="left"/>
      <w:lvlText w:val="-"/>
      <w:numFmt w:val="bullet"/>
      <w:start w:val="1"/>
    </w:lvl>
  </w:abstractNum>
  <w:abstractNum w:abstractNumId="113">
    <w:nsid w:val="75E0858A"/>
    <w:multiLevelType w:val="hybridMultilevel"/>
    <w:lvl w:ilvl="0">
      <w:lvlJc w:val="left"/>
      <w:lvlText w:val="-"/>
      <w:numFmt w:val="bullet"/>
      <w:start w:val="1"/>
    </w:lvl>
  </w:abstractNum>
  <w:abstractNum w:abstractNumId="114">
    <w:nsid w:val="57A61A29"/>
    <w:multiLevelType w:val="hybridMultilevel"/>
    <w:lvl w:ilvl="0">
      <w:lvlJc w:val="left"/>
      <w:lvlText w:val="%1."/>
      <w:numFmt w:val="decimal"/>
      <w:start w:val="4"/>
    </w:lvl>
  </w:abstractNum>
  <w:abstractNum w:abstractNumId="115">
    <w:nsid w:val="5399C654"/>
    <w:multiLevelType w:val="hybridMultilevel"/>
    <w:lvl w:ilvl="0">
      <w:lvlJc w:val="left"/>
      <w:lvlText w:val="(%1)"/>
      <w:numFmt w:val="decimal"/>
      <w:start w:val="1"/>
    </w:lvl>
  </w:abstractNum>
  <w:abstractNum w:abstractNumId="116">
    <w:nsid w:val="20EE1348"/>
    <w:multiLevelType w:val="hybridMultilevel"/>
    <w:lvl w:ilvl="0">
      <w:lvlJc w:val="left"/>
      <w:lvlText w:val="%1."/>
      <w:numFmt w:val="decimal"/>
      <w:start w:val="6"/>
    </w:lvl>
  </w:abstractNum>
  <w:abstractNum w:abstractNumId="117">
    <w:nsid w:val="4427069A"/>
    <w:multiLevelType w:val="hybridMultilevel"/>
    <w:lvl w:ilvl="0">
      <w:lvlJc w:val="left"/>
      <w:lvlText w:val="%1."/>
      <w:numFmt w:val="decimal"/>
      <w:start w:val="7"/>
    </w:lvl>
  </w:abstractNum>
  <w:abstractNum w:abstractNumId="118">
    <w:nsid w:val="B37E80A"/>
    <w:multiLevelType w:val="hybridMultilevel"/>
    <w:lvl w:ilvl="0">
      <w:lvlJc w:val="left"/>
      <w:lvlText w:val="(%1)"/>
      <w:numFmt w:val="decimal"/>
      <w:start w:val="1"/>
    </w:lvl>
  </w:abstractNum>
  <w:abstractNum w:abstractNumId="119">
    <w:nsid w:val="2157F6BC"/>
    <w:multiLevelType w:val="hybridMultilevel"/>
    <w:lvl w:ilvl="0">
      <w:lvlJc w:val="left"/>
      <w:lvlText w:val="(%1)"/>
      <w:numFmt w:val="lowerRoman"/>
      <w:start w:val="1"/>
    </w:lvl>
  </w:abstractNum>
  <w:abstractNum w:abstractNumId="120">
    <w:nsid w:val="704E1DD5"/>
    <w:multiLevelType w:val="hybridMultilevel"/>
    <w:lvl w:ilvl="0">
      <w:lvlJc w:val="left"/>
      <w:lvlText w:val="(%1)"/>
      <w:numFmt w:val="lowerRoman"/>
      <w:start w:val="2"/>
    </w:lvl>
  </w:abstractNum>
  <w:abstractNum w:abstractNumId="121">
    <w:nsid w:val="57D2F10E"/>
    <w:multiLevelType w:val="hybridMultilevel"/>
    <w:lvl w:ilvl="0">
      <w:lvlJc w:val="left"/>
      <w:lvlText w:val="(%1)"/>
      <w:numFmt w:val="lowerRoman"/>
      <w:start w:val="3"/>
    </w:lvl>
  </w:abstractNum>
  <w:abstractNum w:abstractNumId="122">
    <w:nsid w:val="BFFAE18"/>
    <w:multiLevelType w:val="hybridMultilevel"/>
    <w:lvl w:ilvl="0">
      <w:lvlJc w:val="left"/>
      <w:lvlText w:val="(%1)"/>
      <w:numFmt w:val="lowerRoman"/>
      <w:start w:val="4"/>
    </w:lvl>
  </w:abstractNum>
  <w:abstractNum w:abstractNumId="123">
    <w:nsid w:val="E3E47A8"/>
    <w:multiLevelType w:val="hybridMultilevel"/>
    <w:lvl w:ilvl="0">
      <w:lvlJc w:val="left"/>
      <w:lvlText w:val="-"/>
      <w:numFmt w:val="bullet"/>
      <w:start w:val="1"/>
    </w:lvl>
  </w:abstractNum>
  <w:abstractNum w:abstractNumId="124">
    <w:nsid w:val="2E48F044"/>
    <w:multiLevelType w:val="hybridMultilevel"/>
    <w:lvl w:ilvl="0">
      <w:lvlJc w:val="left"/>
      <w:lvlText w:val="(%1)"/>
      <w:numFmt w:val="lowerRoman"/>
      <w:start w:val="5"/>
    </w:lvl>
  </w:abstractNum>
  <w:abstractNum w:abstractNumId="125">
    <w:nsid w:val="49D0FEAC"/>
    <w:multiLevelType w:val="hybridMultilevel"/>
    <w:lvl w:ilvl="0">
      <w:lvlJc w:val="left"/>
      <w:lvlText w:val="(%1)"/>
      <w:numFmt w:val="lowerRoman"/>
      <w:start w:val="6"/>
    </w:lvl>
  </w:abstractNum>
  <w:abstractNum w:abstractNumId="126">
    <w:nsid w:val="4BEE5A5B"/>
    <w:multiLevelType w:val="hybridMultilevel"/>
    <w:lvl w:ilvl="0">
      <w:lvlJc w:val="left"/>
      <w:lvlText w:val="(%1)"/>
      <w:numFmt w:val="lowerRoman"/>
      <w:start w:val="7"/>
    </w:lvl>
  </w:abstractNum>
  <w:abstractNum w:abstractNumId="127">
    <w:nsid w:val="5551B9F3"/>
    <w:multiLevelType w:val="hybridMultilevel"/>
    <w:lvl w:ilvl="0">
      <w:lvlJc w:val="left"/>
      <w:lvlText w:val="(%1)"/>
      <w:numFmt w:val="decimal"/>
      <w:start w:val="1"/>
    </w:lvl>
  </w:abstractNum>
  <w:abstractNum w:abstractNumId="128">
    <w:nsid w:val="24F6AB8E"/>
    <w:multiLevelType w:val="hybridMultilevel"/>
    <w:lvl w:ilvl="0">
      <w:lvlJc w:val="left"/>
      <w:lvlText w:val="(%1)"/>
      <w:numFmt w:val="lowerRoman"/>
      <w:start w:val="2"/>
    </w:lvl>
  </w:abstractNum>
  <w:abstractNum w:abstractNumId="129">
    <w:nsid w:val="634C574C"/>
    <w:multiLevelType w:val="hybridMultilevel"/>
    <w:lvl w:ilvl="0">
      <w:lvlJc w:val="left"/>
      <w:lvlText w:val="•"/>
      <w:numFmt w:val="bullet"/>
      <w:start w:val="1"/>
    </w:lvl>
  </w:abstractNum>
  <w:abstractNum w:abstractNumId="130">
    <w:nsid w:val="24E99DD7"/>
    <w:multiLevelType w:val="hybridMultilevel"/>
    <w:lvl w:ilvl="0">
      <w:lvlJc w:val="left"/>
      <w:lvlText w:val="•"/>
      <w:numFmt w:val="bullet"/>
      <w:start w:val="1"/>
    </w:lvl>
  </w:abstractNum>
  <w:abstractNum w:abstractNumId="131">
    <w:nsid w:val="2A31B62D"/>
    <w:multiLevelType w:val="hybridMultilevel"/>
    <w:lvl w:ilvl="0">
      <w:lvlJc w:val="left"/>
      <w:lvlText w:val="(%1)"/>
      <w:numFmt w:val="lowerLetter"/>
      <w:start w:val="1"/>
    </w:lvl>
  </w:abstractNum>
  <w:abstractNum w:abstractNumId="132">
    <w:nsid w:val="1849C29B"/>
    <w:multiLevelType w:val="hybridMultilevel"/>
    <w:lvl w:ilvl="0">
      <w:lvlJc w:val="left"/>
      <w:lvlText w:val="•"/>
      <w:numFmt w:val="bullet"/>
      <w:start w:val="1"/>
    </w:lvl>
  </w:abstractNum>
  <w:abstractNum w:abstractNumId="133">
    <w:nsid w:val="7DFF9D09"/>
    <w:multiLevelType w:val="hybridMultilevel"/>
    <w:lvl w:ilvl="0">
      <w:lvlJc w:val="left"/>
      <w:lvlText w:val="(%1)"/>
      <w:numFmt w:val="lowerRoman"/>
      <w:start w:val="1"/>
    </w:lvl>
  </w:abstractNum>
  <w:abstractNum w:abstractNumId="134">
    <w:nsid w:val="754342"/>
    <w:multiLevelType w:val="hybridMultilevel"/>
    <w:lvl w:ilvl="0">
      <w:lvlJc w:val="left"/>
      <w:lvlText w:val="(%1)"/>
      <w:numFmt w:val="lowerRoman"/>
      <w:start w:val="1"/>
    </w:lvl>
  </w:abstractNum>
  <w:abstractNum w:abstractNumId="135">
    <w:nsid w:val="69E7F3E5"/>
    <w:multiLevelType w:val="hybridMultilevel"/>
    <w:lvl w:ilvl="0">
      <w:lvlJc w:val="left"/>
      <w:lvlText w:val="(%1)"/>
      <w:numFmt w:val="lowerLetter"/>
      <w:start w:val="1"/>
    </w:lvl>
    <w:lvl w:ilvl="1">
      <w:lvlJc w:val="left"/>
      <w:lvlText w:val="(%2)"/>
      <w:numFmt w:val="lowerRoman"/>
      <w:start w:val="1"/>
    </w:lvl>
  </w:abstractNum>
  <w:abstractNum w:abstractNumId="136">
    <w:nsid w:val="2A6DE806"/>
    <w:multiLevelType w:val="hybridMultilevel"/>
    <w:lvl w:ilvl="0">
      <w:lvlJc w:val="left"/>
      <w:lvlText w:val="(%1)"/>
      <w:numFmt w:val="lowerRoman"/>
      <w:start w:val="1"/>
    </w:lvl>
  </w:abstractNum>
  <w:abstractNum w:abstractNumId="137">
    <w:nsid w:val="1816F8C4"/>
    <w:multiLevelType w:val="hybridMultilevel"/>
    <w:lvl w:ilvl="0">
      <w:lvlJc w:val="left"/>
      <w:lvlText w:val="(%1)"/>
      <w:numFmt w:val="decimal"/>
      <w:start w:val="1"/>
    </w:lvl>
  </w:abstractNum>
  <w:abstractNum w:abstractNumId="138">
    <w:nsid w:val="37DF2233"/>
    <w:multiLevelType w:val="hybridMultilevel"/>
    <w:lvl w:ilvl="0">
      <w:lvlJc w:val="left"/>
      <w:lvlText w:val="(%1)"/>
      <w:numFmt w:val="decimal"/>
      <w:start w:val="1"/>
    </w:lvl>
  </w:abstractNum>
  <w:abstractNum w:abstractNumId="139">
    <w:nsid w:val="7AB49DAF"/>
    <w:multiLevelType w:val="hybridMultilevel"/>
    <w:lvl w:ilvl="0">
      <w:lvlJc w:val="left"/>
      <w:lvlText w:val="(%1)"/>
      <w:numFmt w:val="decimal"/>
      <w:start w:val="1"/>
    </w:lvl>
  </w:abstractNum>
  <w:abstractNum w:abstractNumId="140">
    <w:nsid w:val="759F82CD"/>
    <w:multiLevelType w:val="hybridMultilevel"/>
    <w:lvl w:ilvl="0">
      <w:lvlJc w:val="left"/>
      <w:lvlText w:val="(%1)"/>
      <w:numFmt w:val="lowerLetter"/>
      <w:start w:val="1"/>
    </w:lvl>
  </w:abstractNum>
  <w:abstractNum w:abstractNumId="141">
    <w:nsid w:val="61E74EA3"/>
    <w:multiLevelType w:val="hybridMultilevel"/>
    <w:lvl w:ilvl="0">
      <w:lvlJc w:val="left"/>
      <w:lvlText w:val="(%1)"/>
      <w:numFmt w:val="lowerRoman"/>
      <w:start w:val="1"/>
    </w:lvl>
  </w:abstractNum>
  <w:abstractNum w:abstractNumId="142">
    <w:nsid w:val="597B4D84"/>
    <w:multiLevelType w:val="hybridMultilevel"/>
    <w:lvl w:ilvl="0">
      <w:lvlJc w:val="left"/>
      <w:lvlText w:val="(%1)"/>
      <w:numFmt w:val="decimal"/>
      <w:start w:val="1"/>
    </w:lvl>
  </w:abstractNum>
  <w:abstractNum w:abstractNumId="143">
    <w:nsid w:val="F819E7F"/>
    <w:multiLevelType w:val="hybridMultilevel"/>
    <w:lvl w:ilvl="0">
      <w:lvlJc w:val="left"/>
      <w:lvlText w:val="%1."/>
      <w:numFmt w:val="decimal"/>
      <w:start w:val="1"/>
    </w:lvl>
    <w:lvl w:ilvl="1">
      <w:lvlJc w:val="left"/>
      <w:lvlText w:val="%2."/>
      <w:numFmt w:val="lowerLetter"/>
      <w:start w:val="1"/>
    </w:lvl>
  </w:abstractNum>
  <w:abstractNum w:abstractNumId="144">
    <w:nsid w:val="57C7D42D"/>
    <w:multiLevelType w:val="hybridMultilevel"/>
    <w:lvl w:ilvl="0">
      <w:lvlJc w:val="left"/>
      <w:lvlText w:val="%1."/>
      <w:numFmt w:val="decimal"/>
      <w:start w:val="1"/>
    </w:lvl>
    <w:lvl w:ilvl="1">
      <w:lvlJc w:val="left"/>
      <w:lvlText w:val="%2."/>
      <w:numFmt w:val="lowerLetter"/>
      <w:start w:val="1"/>
    </w:lvl>
  </w:abstractNum>
  <w:abstractNum w:abstractNumId="145">
    <w:nsid w:val="312167AD"/>
    <w:multiLevelType w:val="hybridMultilevel"/>
    <w:lvl w:ilvl="0">
      <w:lvlJc w:val="left"/>
      <w:lvlText w:val="%1."/>
      <w:numFmt w:val="decimal"/>
      <w:start w:val="1"/>
    </w:lvl>
  </w:abstractNum>
  <w:abstractNum w:abstractNumId="146">
    <w:nsid w:val="631B64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jpeg"/><Relationship Id="rId197" Type="http://schemas.openxmlformats.org/officeDocument/2006/relationships/image" Target="media/image186.png"/><Relationship Id="rId198" Type="http://schemas.openxmlformats.org/officeDocument/2006/relationships/image" Target="media/image187.jpeg"/><Relationship Id="rId199" Type="http://schemas.openxmlformats.org/officeDocument/2006/relationships/image" Target="media/image188.png"/><Relationship Id="rId200" Type="http://schemas.openxmlformats.org/officeDocument/2006/relationships/image" Target="media/image189.jpeg"/><Relationship Id="rId201" Type="http://schemas.openxmlformats.org/officeDocument/2006/relationships/image" Target="media/image190.png"/><Relationship Id="rId202" Type="http://schemas.openxmlformats.org/officeDocument/2006/relationships/image" Target="media/image191.jpeg"/><Relationship Id="rId203" Type="http://schemas.openxmlformats.org/officeDocument/2006/relationships/image" Target="media/image192.png"/><Relationship Id="rId204" Type="http://schemas.openxmlformats.org/officeDocument/2006/relationships/image" Target="media/image193.jpeg"/><Relationship Id="rId205" Type="http://schemas.openxmlformats.org/officeDocument/2006/relationships/image" Target="media/image194.png"/><Relationship Id="rId206" Type="http://schemas.openxmlformats.org/officeDocument/2006/relationships/image" Target="media/image195.jpeg"/><Relationship Id="rId207" Type="http://schemas.openxmlformats.org/officeDocument/2006/relationships/image" Target="media/image196.png"/><Relationship Id="rId208" Type="http://schemas.openxmlformats.org/officeDocument/2006/relationships/image" Target="media/image197.jpeg"/><Relationship Id="rId209" Type="http://schemas.openxmlformats.org/officeDocument/2006/relationships/image" Target="media/image198.png"/><Relationship Id="rId210" Type="http://schemas.openxmlformats.org/officeDocument/2006/relationships/image" Target="media/image199.jpeg"/><Relationship Id="rId211" Type="http://schemas.openxmlformats.org/officeDocument/2006/relationships/image" Target="media/image200.png"/><Relationship Id="rId212" Type="http://schemas.openxmlformats.org/officeDocument/2006/relationships/image" Target="media/image201.jpeg"/><Relationship Id="rId213" Type="http://schemas.openxmlformats.org/officeDocument/2006/relationships/image" Target="media/image202.png"/><Relationship Id="rId214" Type="http://schemas.openxmlformats.org/officeDocument/2006/relationships/image" Target="media/image203.jpeg"/><Relationship Id="rId215" Type="http://schemas.openxmlformats.org/officeDocument/2006/relationships/image" Target="media/image204.png"/><Relationship Id="rId216" Type="http://schemas.openxmlformats.org/officeDocument/2006/relationships/image" Target="media/image205.jpeg"/><Relationship Id="rId217" Type="http://schemas.openxmlformats.org/officeDocument/2006/relationships/image" Target="media/image206.jpeg"/><Relationship Id="rId218" Type="http://schemas.openxmlformats.org/officeDocument/2006/relationships/image" Target="media/image207.jpeg"/><Relationship Id="rId219" Type="http://schemas.openxmlformats.org/officeDocument/2006/relationships/image" Target="media/image208.jpeg"/><Relationship Id="rId220" Type="http://schemas.openxmlformats.org/officeDocument/2006/relationships/image" Target="media/image209.png"/><Relationship Id="rId221" Type="http://schemas.openxmlformats.org/officeDocument/2006/relationships/image" Target="media/image210.jpeg"/><Relationship Id="rId222" Type="http://schemas.openxmlformats.org/officeDocument/2006/relationships/image" Target="media/image211.png"/><Relationship Id="rId223" Type="http://schemas.openxmlformats.org/officeDocument/2006/relationships/image" Target="media/image212.jpeg"/><Relationship Id="rId224" Type="http://schemas.openxmlformats.org/officeDocument/2006/relationships/image" Target="media/image213.png"/><Relationship Id="rId225" Type="http://schemas.openxmlformats.org/officeDocument/2006/relationships/image" Target="media/image214.jpeg"/><Relationship Id="rId226" Type="http://schemas.openxmlformats.org/officeDocument/2006/relationships/image" Target="media/image215.jpe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jpeg"/><Relationship Id="rId273" Type="http://schemas.openxmlformats.org/officeDocument/2006/relationships/image" Target="media/image262.png"/><Relationship Id="rId274" Type="http://schemas.openxmlformats.org/officeDocument/2006/relationships/image" Target="media/image263.png"/><Relationship Id="rId185" Type="http://schemas.openxmlformats.org/officeDocument/2006/relationships/hyperlink" Target="https://www.sec.gov/Archives/edgar/data/0001855129/000114036121021557/nt10022430x4_ex3-2.htm" TargetMode="External"/><Relationship Id="rId186" Type="http://schemas.openxmlformats.org/officeDocument/2006/relationships/hyperlink" Target="https://www.sec.gov/Archives/edgar/data/1855129/000114036121021557/nt10022430x4_ex10-1.htm" TargetMode="External"/><Relationship Id="rId187" Type="http://schemas.openxmlformats.org/officeDocument/2006/relationships/hyperlink" Target="https://www.sec.gov/Archives/edgar/data/1855129/000114036121021557/nt10022430x4_ex10-2.htm" TargetMode="External"/><Relationship Id="rId188" Type="http://schemas.openxmlformats.org/officeDocument/2006/relationships/hyperlink" Target="https://www.sec.gov/Archives/edgar/data/1855129/000114036121019900/nt10022430x2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2022-03-28T06:04:28Z</dcterms:created>
  <dcterms:modified xsi:type="dcterms:W3CDTF">2022-03-28T06:04:28Z</dcterms:modified>
</cp:coreProperties>
</file>