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jc w:val="right"/>
        <w:ind w:right="4920"/>
        <w:spacing w:after="0"/>
        <w:rPr>
          <w:sz w:val="20"/>
          <w:szCs w:val="20"/>
          <w:color w:val="auto"/>
        </w:rPr>
      </w:pPr>
      <w:r>
        <w:rPr>
          <w:rFonts w:ascii="Arial" w:cs="Arial" w:eastAsia="Arial" w:hAnsi="Arial"/>
          <w:sz w:val="18"/>
          <w:szCs w:val="18"/>
          <w:color w:val="auto"/>
        </w:rPr>
        <w:t>GH Research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right"/>
        <w:ind w:right="496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nominal value $0.025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G3855L106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3"/>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G3855L106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4,840,750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3,774,338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3,774,338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3,774,338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3,774,338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3,774,338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3,774,338</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G3855L106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649,089</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649,089</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649,089</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649,089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649,089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649,089</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8,615,088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8,615,088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8,615,088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G3855L106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G3855L106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9,275,158</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9,275,158</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G3855L106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Spike Loy</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0 shares</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GH Research PLC, an Irish company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28 Baggot Street Lower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Dublin 2 DO2 NX43</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Ireland</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Spike Loy (“Mr. Loy”)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Ordinary Shares, nominal value $0.025 per share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G3855L106</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5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BVF beneficially owned 4,840,750 Shares, (ii) BVF2 beneficially owned 3,774,338 Shares and (iii) Trading Fund OS beneficially owned 649,089 Shares.</w:t>
      </w:r>
    </w:p>
    <w:p>
      <w:pPr>
        <w:spacing w:after="0" w:line="170"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4,840,750 Shares beneficially owned by BVF. BVF2 GP, as the general partner of BVF2, may be deemed to beneficially own the 3,774,338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649,089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8,615,088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Partners, as the investment manager of BVF, BVF2 and Trading Fund OS, and the sole member of Partners OS, may be deemed to beneficially own the 9,275,158 Shares beneficially owned in the aggregate by BVF, BVF2 and Trading Fund OS and held in a certain Partners managed account (the “Partners Managed Account”), including 10,981 Shares held in the Partners Managed Account.</w:t>
      </w:r>
    </w:p>
    <w:p>
      <w:pPr>
        <w:spacing w:after="0" w:line="1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9,275,158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9,275,158 Shares beneficially owned by BVF Inc.</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Mr. Loy, a member of the Board of Directors of the Issuer and a Managing Director of Partners, did not beneficially own any Shares of the Issuer.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Accounts, and the filing of this statement shall not be construed as an admission that any such person or entity is the beneficial owner of any such securities.</w:t>
      </w:r>
    </w:p>
    <w:p>
      <w:pPr>
        <w:spacing w:after="0" w:line="17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The following percentages are based on 52,020,849 Shares outstanding which is the total number of Shares outstanding as disclosed in the Issuer’s Unaudited Condensed Consolidated Interim Financial Statements filed on Form 6-K with the Securities and Exchange Commission on December 6, 2021.</w:t>
      </w:r>
    </w:p>
    <w:p>
      <w:pPr>
        <w:spacing w:after="0" w:line="183"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BVF beneficially owned approximately 9.3% of the outstanding Shares, (ii) BVF2 beneficially owned approximately 7.3% of the outstanding Shares, (iii) Trading Fund OS beneficially owned approximately 1.3% of the outstanding Shares, (iv) BVF GP may be deemed to beneficially own approximately 9.3% of the outstanding Shares, (v) BVF2 GP may be deemed to beneficially own approximately 7.3% of the outstanding Shares, (vi) Partners OS may be deemed to beneficially own approximately 1.3% of the outstanding Shares, (vii) BVF GPH may be deemed to beneficially own approximately 16.6% of the outstanding Shares, (viii) each of Partners, BVF Inc. and Mr. Lampert may be deemed to beneficially own approximately 17.8% of the outstanding Shares (less than 1% of the outstanding Shares are held in the Partners Managed Account) and (ix) Mr. Loy did not beneficially own any Shares.</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2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BVF GP, BVF GPH, Partners, BVF Inc. and Mr. Lampert share voting and dispositive power over the Shares beneficially owned by BVF. BVF2 GP,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7"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G3855L106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Spike Loy</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SPIKE 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-130175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680"/>
          </w:cols>
          <w:pgMar w:left="320" w:top="226" w:right="35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agree that the Statement on Schedule 13G dated February 14, 2022 with respect to the ordinary shares, no par value per share, of GH Research PLC, a public limited company incorporated in Ireland, and any further amendments thereto executed by each and any of the undersigned shall be filed on behalf of each of the undersigned pursuant to and in accordance with the provisions of Rule 13d-1(k)(1) under the Securities Exchange Act of 1934, as amended.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Spike Loy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SPIKE 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3557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sectPr>
      <w:pgSz w:w="11900" w:h="16838" w:orient="portrait"/>
      <w:cols w:equalWidth="0" w:num="2">
        <w:col w:w="4920" w:space="720"/>
        <w:col w:w="560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2022-02-14T11:54:28Z</dcterms:created>
  <dcterms:modified xsi:type="dcterms:W3CDTF">2022-02-14T11:54:28Z</dcterms:modified>
</cp:coreProperties>
</file>