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191770</wp:posOffset>
            </wp:positionH>
            <wp:positionV relativeFrom="page">
              <wp:posOffset>140970</wp:posOffset>
            </wp:positionV>
            <wp:extent cx="71653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340" cy="26035"/>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231775</wp:posOffset>
            </wp:positionV>
            <wp:extent cx="71653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340" cy="6350"/>
                    </a:xfrm>
                    <a:prstGeom prst="rect">
                      <a:avLst/>
                    </a:prstGeom>
                    <a:noFill/>
                  </pic:spPr>
                </pic:pic>
              </a:graphicData>
            </a:graphic>
          </wp:anchor>
        </w:drawing>
        <w:t>UNITED STATES</w:t>
      </w:r>
    </w:p>
    <w:p>
      <w:pPr>
        <w:spacing w:after="0" w:line="3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18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REPORT OF FOREIGN PRIVATE ISSUER PURSUANT TO RULE 13a-16 OR 15d-16 UNDER THE SECURITIES EXCHANGE ACT OF 1934</w:t>
      </w:r>
    </w:p>
    <w:p>
      <w:pPr>
        <w:spacing w:after="0" w:line="18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6"/>
          <w:szCs w:val="16"/>
          <w:color w:val="auto"/>
        </w:rPr>
        <w:t>For the month of September, 2022.</w:t>
      </w:r>
    </w:p>
    <w:p>
      <w:pPr>
        <w:spacing w:after="0" w:line="18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Commission File Number: 001-40530</w:t>
      </w:r>
    </w:p>
    <w:p>
      <w:pPr>
        <w:spacing w:after="0" w:line="170"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3"/>
          <w:szCs w:val="33"/>
          <w:b w:val="1"/>
          <w:bCs w:val="1"/>
          <w:color w:val="auto"/>
        </w:rPr>
        <w:t>GH Research PLC</w:t>
      </w:r>
    </w:p>
    <w:p>
      <w:pPr>
        <w:spacing w:after="0" w:line="35"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6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28 Baggot Street Lower</w:t>
      </w:r>
    </w:p>
    <w:p>
      <w:pPr>
        <w:spacing w:after="0" w:line="2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Dublin 2</w:t>
      </w: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D02 NX43</w:t>
      </w: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Ireland</w:t>
      </w: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w:t>
      </w:r>
    </w:p>
    <w:p>
      <w:pPr>
        <w:spacing w:after="0" w:line="166"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69" w:lineRule="exact"/>
        <w:rPr>
          <w:sz w:val="24"/>
          <w:szCs w:val="24"/>
          <w:color w:val="auto"/>
        </w:rPr>
      </w:pPr>
    </w:p>
    <w:p>
      <w:pPr>
        <w:ind w:left="4000"/>
        <w:spacing w:after="0" w:line="161" w:lineRule="exact"/>
        <w:tabs>
          <w:tab w:leader="none" w:pos="5320" w:val="left"/>
          <w:tab w:leader="none" w:pos="6220" w:val="left"/>
          <w:tab w:leader="none" w:pos="7600" w:val="left"/>
        </w:tabs>
        <w:rPr>
          <w:sz w:val="20"/>
          <w:szCs w:val="20"/>
          <w:color w:val="auto"/>
        </w:rPr>
      </w:pPr>
      <w:r>
        <w:rPr>
          <w:rFonts w:ascii="Times New Roman" w:cs="Times New Roman" w:eastAsia="Times New Roman" w:hAnsi="Times New Roman"/>
          <w:sz w:val="14"/>
          <w:szCs w:val="14"/>
          <w:color w:val="auto"/>
        </w:rPr>
        <w:t>Form 20-F</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Form 40-F</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4732655</wp:posOffset>
            </wp:positionH>
            <wp:positionV relativeFrom="paragraph">
              <wp:posOffset>31115</wp:posOffset>
            </wp:positionV>
            <wp:extent cx="285750"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0" cy="12700"/>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31115</wp:posOffset>
            </wp:positionV>
            <wp:extent cx="27940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00" cy="12700"/>
                    </a:xfrm>
                    <a:prstGeom prst="rect">
                      <a:avLst/>
                    </a:prstGeom>
                    <a:noFill/>
                  </pic:spPr>
                </pic:pic>
              </a:graphicData>
            </a:graphic>
          </wp:anchor>
        </w:drawing>
      </w:r>
    </w:p>
    <w:p>
      <w:pPr>
        <w:spacing w:after="0" w:line="19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19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1653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3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269875</wp:posOffset>
            </wp:positionV>
            <wp:extent cx="716534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340"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380365</wp:posOffset>
            </wp:positionV>
            <wp:extent cx="716534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12700"/>
                    </a:xfrm>
                    <a:prstGeom prst="rect">
                      <a:avLst/>
                    </a:prstGeom>
                    <a:noFill/>
                  </pic:spPr>
                </pic:pic>
              </a:graphicData>
            </a:graphic>
          </wp:anchor>
        </w:drawing>
      </w:r>
    </w:p>
    <w:p>
      <w:pPr>
        <w:sectPr>
          <w:pgSz w:w="11900" w:h="16838" w:orient="portrait"/>
          <w:cols w:equalWidth="0" w:num="1">
            <w:col w:w="10740"/>
          </w:cols>
          <w:pgMar w:left="300" w:top="436" w:right="859" w:bottom="1440" w:gutter="0" w:footer="0" w:header="0"/>
        </w:sectPr>
      </w:pPr>
    </w:p>
    <w:bookmarkStart w:id="1" w:name="page2"/>
    <w:bookmarkEnd w:id="1"/>
    <w:p>
      <w:pPr>
        <w:ind w:right="40"/>
        <w:spacing w:after="0" w:line="277" w:lineRule="auto"/>
        <w:rPr>
          <w:sz w:val="20"/>
          <w:szCs w:val="20"/>
          <w:color w:val="auto"/>
        </w:rPr>
      </w:pPr>
      <w:r>
        <w:rPr>
          <w:rFonts w:ascii="Times New Roman" w:cs="Times New Roman" w:eastAsia="Times New Roman" w:hAnsi="Times New Roman"/>
          <w:sz w:val="16"/>
          <w:szCs w:val="16"/>
          <w:color w:val="auto"/>
        </w:rPr>
        <w:t>On September 22, 2022, at the Interdisciplinary Conference on Psychedelic Research 2022, an investigator will present data related to a Phase 1/2 clinical trial of GH001 (GH001-TRD-102) conducted by GH Research PLC (the “Company”). A copy of the presentation is attached hereto as Exhibit 99.1.</w:t>
      </w:r>
    </w:p>
    <w:p>
      <w:pPr>
        <w:spacing w:after="0" w:line="127"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6"/>
          <w:szCs w:val="16"/>
          <w:color w:val="auto"/>
        </w:rPr>
        <w:t>Additionally, on September 23, 2022, an investigator will present data at a poster session related to a Phase 1 clinical trial of GH001 (GH001-HV-101) conducted by the Company. A copy of the poster is attached hereto as Exhibit 99.2.</w:t>
      </w:r>
    </w:p>
    <w:p>
      <w:pPr>
        <w:spacing w:after="0" w:line="1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fact that these materials are being made available and furnished herewith should not be deemed an admission as to the materiality of any information contained in the materials. The information contained in these materials is being provided as of September 21, 2022 and the Company does not undertake any obligation to update these materials in the future or to update forward-looking statements to reflect subsequent actual results.</w:t>
      </w:r>
    </w:p>
    <w:p>
      <w:pPr>
        <w:spacing w:after="0" w:line="2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34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12700"/>
                    </a:xfrm>
                    <a:prstGeom prst="rect">
                      <a:avLst/>
                    </a:prstGeom>
                    <a:noFill/>
                  </pic:spPr>
                </pic:pic>
              </a:graphicData>
            </a:graphic>
          </wp:anchor>
        </w:drawing>
      </w:r>
    </w:p>
    <w:p>
      <w:pPr>
        <w:sectPr>
          <w:pgSz w:w="11900" w:h="16838" w:orient="portrait"/>
          <w:cols w:equalWidth="0" w:num="1">
            <w:col w:w="11120"/>
          </w:cols>
          <w:pgMar w:left="300" w:top="120" w:right="479" w:bottom="1440" w:gutter="0" w:footer="0" w:header="0"/>
        </w:sectPr>
      </w:pPr>
    </w:p>
    <w:bookmarkStart w:id="2" w:name="page3"/>
    <w:bookmarkEnd w:id="2"/>
    <w:p>
      <w:pPr>
        <w:jc w:val="right"/>
        <w:ind w:right="3879"/>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6"/>
        </w:trPr>
        <w:tc>
          <w:tcPr>
            <w:tcW w:w="240" w:type="dxa"/>
            <w:vAlign w:val="bottom"/>
            <w:tcBorders>
              <w:bottom w:val="single" w:sz="8" w:color="0000EE"/>
            </w:tcBorders>
          </w:tcPr>
          <w:p>
            <w:pPr>
              <w:spacing w:after="0" w:line="146"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1</w:t>
            </w:r>
          </w:p>
        </w:tc>
        <w:tc>
          <w:tcPr>
            <w:tcW w:w="660" w:type="dxa"/>
            <w:vAlign w:val="bottom"/>
          </w:tcPr>
          <w:p>
            <w:pPr>
              <w:spacing w:after="0"/>
              <w:rPr>
                <w:sz w:val="12"/>
                <w:szCs w:val="12"/>
                <w:color w:val="auto"/>
              </w:rPr>
            </w:pPr>
          </w:p>
        </w:tc>
        <w:tc>
          <w:tcPr>
            <w:tcW w:w="2020" w:type="dxa"/>
            <w:vAlign w:val="bottom"/>
          </w:tcPr>
          <w:p>
            <w:pPr>
              <w:ind w:left="240"/>
              <w:spacing w:after="0" w:line="146" w:lineRule="exact"/>
              <w:rPr>
                <w:sz w:val="20"/>
                <w:szCs w:val="20"/>
                <w:color w:val="auto"/>
              </w:rPr>
            </w:pPr>
            <w:r>
              <w:rPr>
                <w:rFonts w:ascii="Times New Roman" w:cs="Times New Roman" w:eastAsia="Times New Roman" w:hAnsi="Times New Roman"/>
                <w:sz w:val="14"/>
                <w:szCs w:val="14"/>
                <w:color w:val="auto"/>
                <w:w w:val="95"/>
              </w:rPr>
              <w:t>Presentation for September 2022</w:t>
            </w:r>
          </w:p>
        </w:tc>
      </w:tr>
      <w:tr>
        <w:trPr>
          <w:trHeight w:val="144"/>
        </w:trPr>
        <w:tc>
          <w:tcPr>
            <w:tcW w:w="240" w:type="dxa"/>
            <w:vAlign w:val="bottom"/>
            <w:tcBorders>
              <w:bottom w:val="single" w:sz="8" w:color="0000EE"/>
            </w:tcBorders>
          </w:tcPr>
          <w:p>
            <w:pPr>
              <w:spacing w:after="0" w:line="143" w:lineRule="exact"/>
              <w:rPr>
                <w:sz w:val="20"/>
                <w:szCs w:val="20"/>
                <w:color w:val="auto"/>
              </w:rPr>
            </w:pPr>
            <w:r>
              <w:rPr>
                <w:rFonts w:ascii="Times New Roman" w:cs="Times New Roman" w:eastAsia="Times New Roman" w:hAnsi="Times New Roman"/>
                <w:sz w:val="14"/>
                <w:szCs w:val="14"/>
                <w:color w:val="0000EE"/>
                <w:w w:val="89"/>
              </w:rPr>
              <w:t>99.</w:t>
            </w:r>
            <w:r>
              <w:rPr>
                <w:rFonts w:ascii="Times New Roman" w:cs="Times New Roman" w:eastAsia="Times New Roman" w:hAnsi="Times New Roman"/>
                <w:sz w:val="14"/>
                <w:szCs w:val="14"/>
                <w:u w:val="single" w:color="auto"/>
                <w:color w:val="0000EE"/>
                <w:w w:val="89"/>
              </w:rPr>
              <w:t>2</w:t>
            </w:r>
          </w:p>
        </w:tc>
        <w:tc>
          <w:tcPr>
            <w:tcW w:w="660" w:type="dxa"/>
            <w:vAlign w:val="bottom"/>
          </w:tcPr>
          <w:p>
            <w:pPr>
              <w:spacing w:after="0"/>
              <w:rPr>
                <w:sz w:val="12"/>
                <w:szCs w:val="12"/>
                <w:color w:val="auto"/>
              </w:rPr>
            </w:pPr>
          </w:p>
        </w:tc>
        <w:tc>
          <w:tcPr>
            <w:tcW w:w="2020" w:type="dxa"/>
            <w:vAlign w:val="bottom"/>
          </w:tcPr>
          <w:p>
            <w:pPr>
              <w:ind w:left="240"/>
              <w:spacing w:after="0" w:line="143" w:lineRule="exact"/>
              <w:rPr>
                <w:sz w:val="20"/>
                <w:szCs w:val="20"/>
                <w:color w:val="auto"/>
              </w:rPr>
            </w:pPr>
            <w:r>
              <w:rPr>
                <w:rFonts w:ascii="Times New Roman" w:cs="Times New Roman" w:eastAsia="Times New Roman" w:hAnsi="Times New Roman"/>
                <w:sz w:val="14"/>
                <w:szCs w:val="14"/>
                <w:color w:val="auto"/>
              </w:rPr>
              <w:t>Poster for September 2022</w:t>
            </w:r>
          </w:p>
        </w:tc>
      </w:tr>
    </w:tbl>
    <w:p>
      <w:pPr>
        <w:spacing w:after="0" w:line="3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65340"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12700"/>
                    </a:xfrm>
                    <a:prstGeom prst="rect">
                      <a:avLst/>
                    </a:prstGeom>
                    <a:noFill/>
                  </pic:spPr>
                </pic:pic>
              </a:graphicData>
            </a:graphic>
          </wp:anchor>
        </w:drawing>
      </w:r>
    </w:p>
    <w:p>
      <w:pPr>
        <w:sectPr>
          <w:pgSz w:w="11900" w:h="16838" w:orient="portrait"/>
          <w:cols w:equalWidth="0" w:num="1">
            <w:col w:w="10159"/>
          </w:cols>
          <w:pgMar w:left="300" w:top="115"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87" w:lineRule="exact"/>
        <w:rPr>
          <w:sz w:val="20"/>
          <w:szCs w:val="20"/>
          <w:color w:val="auto"/>
        </w:rPr>
      </w:pPr>
    </w:p>
    <w:p>
      <w:pPr>
        <w:ind w:right="560" w:firstLine="491"/>
        <w:spacing w:after="0" w:line="27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280" w:type="dxa"/>
            <w:vAlign w:val="bottom"/>
            <w:gridSpan w:val="2"/>
          </w:tcPr>
          <w:p>
            <w:pPr>
              <w:ind w:left="5660"/>
              <w:spacing w:after="0"/>
              <w:rPr>
                <w:sz w:val="20"/>
                <w:szCs w:val="20"/>
                <w:color w:val="auto"/>
              </w:rPr>
            </w:pPr>
            <w:r>
              <w:rPr>
                <w:rFonts w:ascii="Times New Roman" w:cs="Times New Roman" w:eastAsia="Times New Roman" w:hAnsi="Times New Roman"/>
                <w:sz w:val="14"/>
                <w:szCs w:val="14"/>
                <w:b w:val="1"/>
                <w:bCs w:val="1"/>
                <w:color w:val="auto"/>
              </w:rPr>
              <w:t>GH Research PLC</w:t>
            </w:r>
          </w:p>
        </w:tc>
      </w:tr>
      <w:tr>
        <w:trPr>
          <w:trHeight w:val="164"/>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Date: September 21, 2022</w:t>
            </w:r>
          </w:p>
        </w:tc>
        <w:tc>
          <w:tcPr>
            <w:tcW w:w="5060" w:type="dxa"/>
            <w:vAlign w:val="bottom"/>
          </w:tcPr>
          <w:p>
            <w:pPr>
              <w:spacing w:after="0"/>
              <w:rPr>
                <w:sz w:val="14"/>
                <w:szCs w:val="14"/>
                <w:color w:val="auto"/>
              </w:rPr>
            </w:pPr>
          </w:p>
        </w:tc>
      </w:tr>
      <w:tr>
        <w:trPr>
          <w:trHeight w:val="177"/>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Julie Ryan</w:t>
            </w:r>
          </w:p>
        </w:tc>
      </w:tr>
      <w:tr>
        <w:trPr>
          <w:trHeight w:val="151"/>
        </w:trPr>
        <w:tc>
          <w:tcPr>
            <w:tcW w:w="6220" w:type="dxa"/>
            <w:vAlign w:val="bottom"/>
          </w:tcPr>
          <w:p>
            <w:pPr>
              <w:ind w:left="5660"/>
              <w:spacing w:after="0" w:line="151"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Julie Ryan</w:t>
            </w:r>
          </w:p>
        </w:tc>
      </w:tr>
      <w:tr>
        <w:trPr>
          <w:trHeight w:val="175"/>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 Finance</w:t>
            </w:r>
          </w:p>
        </w:tc>
      </w:tr>
      <w:tr>
        <w:trPr>
          <w:trHeight w:val="421"/>
        </w:trPr>
        <w:tc>
          <w:tcPr>
            <w:tcW w:w="6220" w:type="dxa"/>
            <w:vAlign w:val="bottom"/>
          </w:tcPr>
          <w:p>
            <w:pPr>
              <w:ind w:left="5620"/>
              <w:spacing w:after="0"/>
              <w:rPr>
                <w:sz w:val="20"/>
                <w:szCs w:val="20"/>
                <w:color w:val="auto"/>
              </w:rPr>
            </w:pPr>
            <w:r>
              <w:rPr>
                <w:rFonts w:ascii="Times New Roman" w:cs="Times New Roman" w:eastAsia="Times New Roman" w:hAnsi="Times New Roman"/>
                <w:sz w:val="11"/>
                <w:szCs w:val="11"/>
                <w:color w:val="auto"/>
              </w:rPr>
              <w:t>3</w:t>
            </w:r>
          </w:p>
        </w:tc>
        <w:tc>
          <w:tcPr>
            <w:tcW w:w="5060" w:type="dxa"/>
            <w:vAlign w:val="bottom"/>
          </w:tcPr>
          <w:p>
            <w:pPr>
              <w:spacing w:after="0"/>
              <w:rPr>
                <w:sz w:val="24"/>
                <w:szCs w:val="24"/>
                <w:color w:val="auto"/>
              </w:rPr>
            </w:pPr>
          </w:p>
        </w:tc>
      </w:tr>
      <w:tr>
        <w:trPr>
          <w:trHeight w:val="71"/>
        </w:trPr>
        <w:tc>
          <w:tcPr>
            <w:tcW w:w="6220" w:type="dxa"/>
            <w:vAlign w:val="bottom"/>
            <w:tcBorders>
              <w:bottom w:val="single" w:sz="8" w:color="auto"/>
            </w:tcBorders>
          </w:tcPr>
          <w:p>
            <w:pPr>
              <w:spacing w:after="0"/>
              <w:rPr>
                <w:sz w:val="6"/>
                <w:szCs w:val="6"/>
                <w:color w:val="auto"/>
              </w:rPr>
            </w:pPr>
          </w:p>
        </w:tc>
        <w:tc>
          <w:tcPr>
            <w:tcW w:w="5060" w:type="dxa"/>
            <w:vAlign w:val="bottom"/>
            <w:tcBorders>
              <w:bottom w:val="single" w:sz="8" w:color="auto"/>
            </w:tcBorders>
          </w:tcPr>
          <w:p>
            <w:pPr>
              <w:spacing w:after="0"/>
              <w:rPr>
                <w:sz w:val="6"/>
                <w:szCs w:val="6"/>
                <w:color w:val="auto"/>
              </w:rPr>
            </w:pPr>
          </w:p>
        </w:tc>
      </w:tr>
    </w:tbl>
    <w:p>
      <w:pPr>
        <w:sectPr>
          <w:pgSz w:w="11900" w:h="16838" w:orient="portrait"/>
          <w:cols w:equalWidth="0" w:num="1">
            <w:col w:w="11280"/>
          </w:cols>
          <w:pgMar w:left="300" w:top="116" w:right="319" w:bottom="1440" w:gutter="0" w:footer="0" w:header="0"/>
        </w:sectPr>
      </w:pPr>
    </w:p>
    <w:bookmarkStart w:id="4" w:name="page5"/>
    <w:bookmarkEnd w:id="4"/>
    <w:p>
      <w:pPr>
        <w:ind w:left="9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260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132715</wp:posOffset>
            </wp:positionV>
            <wp:extent cx="7165340" cy="3959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3959225"/>
                    </a:xfrm>
                    <a:prstGeom prst="rect">
                      <a:avLst/>
                    </a:prstGeom>
                    <a:noFill/>
                  </pic:spPr>
                </pic:pic>
              </a:graphicData>
            </a:graphic>
          </wp:anchor>
        </w:drawing>
      </w:r>
    </w:p>
    <w:p>
      <w:pPr>
        <w:sectPr>
          <w:pgSz w:w="11900" w:h="16838" w:orient="portrait"/>
          <w:cols w:equalWidth="0" w:num="1">
            <w:col w:w="10140"/>
          </w:cols>
          <w:pgMar w:left="1440" w:top="238"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3959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395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3959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395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3959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395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3959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395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3959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395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3959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395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3959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395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3959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395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3959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395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3959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340" cy="3959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4043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340" cy="4043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ind w:left="9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534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340" cy="2603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132715</wp:posOffset>
            </wp:positionV>
            <wp:extent cx="7212330" cy="10144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0144760"/>
                    </a:xfrm>
                    <a:prstGeom prst="rect">
                      <a:avLst/>
                    </a:prstGeom>
                    <a:noFill/>
                  </pic:spPr>
                </pic:pic>
              </a:graphicData>
            </a:graphic>
          </wp:anchor>
        </w:drawing>
      </w:r>
    </w:p>
    <w:sectPr>
      <w:pgSz w:w="11900" w:h="16838" w:orient="portrait"/>
      <w:cols w:equalWidth="0" w:num="1">
        <w:col w:w="10140"/>
      </w:cols>
      <w:pgMar w:left="1440" w:top="23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2022-09-21T15:33:53Z</dcterms:created>
  <dcterms:modified xsi:type="dcterms:W3CDTF">2022-09-21T15:33:53Z</dcterms:modified>
</cp:coreProperties>
</file>