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March 9, 2023.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0</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F-3</w:t>
      </w:r>
    </w:p>
    <w:p>
      <w:pPr>
        <w:jc w:val="center"/>
        <w:spacing w:after="0"/>
        <w:rPr>
          <w:sz w:val="20"/>
          <w:szCs w:val="20"/>
          <w:color w:val="auto"/>
        </w:rPr>
      </w:pPr>
      <w:r>
        <w:rPr>
          <w:rFonts w:ascii="Arial" w:cs="Arial" w:eastAsia="Arial" w:hAnsi="Arial"/>
          <w:sz w:val="17"/>
          <w:szCs w:val="17"/>
          <w:b w:val="1"/>
          <w:bCs w:val="1"/>
          <w:color w:val="auto"/>
        </w:rPr>
        <w:t>REGISTRATION STA</w:t>
      </w:r>
      <w:r>
        <w:rPr>
          <w:rFonts w:ascii="Arial" w:cs="Arial" w:eastAsia="Arial" w:hAnsi="Arial"/>
          <w:sz w:val="17"/>
          <w:szCs w:val="17"/>
          <w:b w:val="1"/>
          <w:bCs w:val="1"/>
          <w:u w:val="single" w:color="auto"/>
          <w:color w:val="auto"/>
        </w:rPr>
        <w:t>TEMENT UNDER THE SECU</w:t>
      </w:r>
      <w:r>
        <w:rPr>
          <w:rFonts w:ascii="Arial" w:cs="Arial" w:eastAsia="Arial" w:hAnsi="Arial"/>
          <w:sz w:val="17"/>
          <w:szCs w:val="17"/>
          <w:b w:val="1"/>
          <w:bCs w:val="1"/>
          <w:color w:val="auto"/>
        </w:rPr>
        <w:t>RITIES ACT OF 1933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GH Research PLC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jc w:val="center"/>
        <w:spacing w:after="0" w:line="237" w:lineRule="auto"/>
        <w:rPr>
          <w:sz w:val="20"/>
          <w:szCs w:val="20"/>
          <w:color w:val="auto"/>
        </w:rPr>
      </w:pPr>
      <w:r>
        <w:rPr>
          <w:rFonts w:ascii="Arial" w:cs="Arial" w:eastAsia="Arial" w:hAnsi="Arial"/>
          <w:sz w:val="17"/>
          <w:szCs w:val="17"/>
          <w:b w:val="1"/>
          <w:bCs w:val="1"/>
          <w:color w:val="auto"/>
        </w:rPr>
        <w:t>Not Applicable</w:t>
      </w:r>
    </w:p>
    <w:p>
      <w:pPr>
        <w:jc w:val="center"/>
        <w:spacing w:after="0"/>
        <w:rPr>
          <w:sz w:val="20"/>
          <w:szCs w:val="20"/>
          <w:color w:val="auto"/>
        </w:rPr>
      </w:pPr>
      <w:r>
        <w:rPr>
          <w:rFonts w:ascii="Arial" w:cs="Arial" w:eastAsia="Arial" w:hAnsi="Arial"/>
          <w:sz w:val="17"/>
          <w:szCs w:val="17"/>
          <w:color w:val="auto"/>
        </w:rPr>
        <w:t>(Translation of Registrant’s name into English)</w:t>
      </w:r>
    </w:p>
    <w:p>
      <w:pPr>
        <w:sectPr>
          <w:pgSz w:w="11900" w:h="16838" w:orient="portrait"/>
          <w:cols w:equalWidth="0" w:num="1">
            <w:col w:w="11240"/>
          </w:cols>
          <w:pgMar w:left="320" w:top="455" w:right="339" w:bottom="1440" w:gutter="0" w:footer="0" w:header="0"/>
        </w:sectPr>
      </w:pPr>
    </w:p>
    <w:p>
      <w:pPr>
        <w:spacing w:after="0" w:line="173" w:lineRule="exact"/>
        <w:rPr>
          <w:sz w:val="24"/>
          <w:szCs w:val="24"/>
          <w:color w:val="auto"/>
        </w:rPr>
      </w:pPr>
    </w:p>
    <w:p>
      <w:pPr>
        <w:ind w:left="1580"/>
        <w:spacing w:after="0"/>
        <w:rPr>
          <w:sz w:val="20"/>
          <w:szCs w:val="20"/>
          <w:color w:val="auto"/>
        </w:rPr>
      </w:pPr>
      <w:r>
        <w:rPr>
          <w:rFonts w:ascii="Arial" w:cs="Arial" w:eastAsia="Arial" w:hAnsi="Arial"/>
          <w:sz w:val="17"/>
          <w:szCs w:val="17"/>
          <w:b w:val="1"/>
          <w:bCs w:val="1"/>
          <w:color w:val="auto"/>
        </w:rPr>
        <w:t>Ireland</w:t>
      </w:r>
    </w:p>
    <w:p>
      <w:pPr>
        <w:spacing w:after="0" w:line="13" w:lineRule="exact"/>
        <w:rPr>
          <w:sz w:val="24"/>
          <w:szCs w:val="24"/>
          <w:color w:val="auto"/>
        </w:rPr>
      </w:pPr>
    </w:p>
    <w:p>
      <w:pPr>
        <w:ind w:left="800"/>
        <w:spacing w:after="0"/>
        <w:rPr>
          <w:sz w:val="20"/>
          <w:szCs w:val="20"/>
          <w:color w:val="auto"/>
        </w:rPr>
      </w:pPr>
      <w:r>
        <w:rPr>
          <w:rFonts w:ascii="Arial" w:cs="Arial" w:eastAsia="Arial" w:hAnsi="Arial"/>
          <w:sz w:val="17"/>
          <w:szCs w:val="17"/>
          <w:color w:val="auto"/>
        </w:rPr>
        <w:t>(State or other jurisdiction of</w:t>
      </w:r>
    </w:p>
    <w:p>
      <w:pPr>
        <w:ind w:left="7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1000"/>
        <w:spacing w:after="0"/>
        <w:rPr>
          <w:sz w:val="20"/>
          <w:szCs w:val="20"/>
          <w:color w:val="auto"/>
        </w:rPr>
      </w:pPr>
      <w:r>
        <w:rPr>
          <w:rFonts w:ascii="Arial" w:cs="Arial" w:eastAsia="Arial" w:hAnsi="Arial"/>
          <w:sz w:val="17"/>
          <w:szCs w:val="17"/>
          <w:b w:val="1"/>
          <w:bCs w:val="1"/>
          <w:color w:val="auto"/>
        </w:rPr>
        <w:t>NOT APPLICABLE</w:t>
      </w:r>
    </w:p>
    <w:p>
      <w:pPr>
        <w:spacing w:after="0" w:line="13"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w:t>
      </w:r>
    </w:p>
    <w:p>
      <w:pPr>
        <w:jc w:val="center"/>
        <w:ind w:right="1000"/>
        <w:spacing w:after="0"/>
        <w:rPr>
          <w:sz w:val="20"/>
          <w:szCs w:val="20"/>
          <w:color w:val="auto"/>
        </w:rPr>
      </w:pPr>
      <w:r>
        <w:rPr>
          <w:rFonts w:ascii="Arial" w:cs="Arial" w:eastAsia="Arial" w:hAnsi="Arial"/>
          <w:sz w:val="17"/>
          <w:szCs w:val="17"/>
          <w:color w:val="auto"/>
        </w:rPr>
        <w:t>Identification Number)</w:t>
      </w:r>
    </w:p>
    <w:p>
      <w:pPr>
        <w:spacing w:after="0" w:line="1" w:lineRule="exact"/>
        <w:rPr>
          <w:sz w:val="24"/>
          <w:szCs w:val="24"/>
          <w:color w:val="auto"/>
        </w:rPr>
      </w:pPr>
    </w:p>
    <w:p>
      <w:pPr>
        <w:sectPr>
          <w:pgSz w:w="11900" w:h="16838" w:orient="portrait"/>
          <w:cols w:equalWidth="0" w:num="2">
            <w:col w:w="7840" w:space="720"/>
            <w:col w:w="2680"/>
          </w:cols>
          <w:pgMar w:left="320" w:top="455" w:right="339" w:bottom="1440" w:gutter="0" w:footer="0" w:header="0"/>
          <w:type w:val="continuous"/>
        </w:sectPr>
      </w:pPr>
    </w:p>
    <w:p>
      <w:pPr>
        <w:jc w:val="center"/>
        <w:ind w:right="-19"/>
        <w:spacing w:after="0" w:line="234" w:lineRule="auto"/>
        <w:rPr>
          <w:sz w:val="20"/>
          <w:szCs w:val="20"/>
          <w:color w:val="auto"/>
        </w:rPr>
      </w:pPr>
      <w:r>
        <w:rPr>
          <w:rFonts w:ascii="Arial" w:cs="Arial" w:eastAsia="Arial" w:hAnsi="Arial"/>
          <w:sz w:val="17"/>
          <w:szCs w:val="17"/>
          <w:b w:val="1"/>
          <w:bCs w:val="1"/>
          <w:color w:val="auto"/>
        </w:rPr>
        <w:t>GH Research PLC</w:t>
      </w:r>
    </w:p>
    <w:p>
      <w:pPr>
        <w:jc w:val="center"/>
        <w:ind w:right="-19"/>
        <w:spacing w:after="0" w:line="237" w:lineRule="auto"/>
        <w:rPr>
          <w:sz w:val="20"/>
          <w:szCs w:val="20"/>
          <w:color w:val="auto"/>
        </w:rPr>
      </w:pPr>
      <w:r>
        <w:rPr>
          <w:rFonts w:ascii="Arial" w:cs="Arial" w:eastAsia="Arial" w:hAnsi="Arial"/>
          <w:sz w:val="17"/>
          <w:szCs w:val="17"/>
          <w:b w:val="1"/>
          <w:bCs w:val="1"/>
          <w:color w:val="auto"/>
        </w:rPr>
        <w:t>Joshua Dawson House</w:t>
      </w:r>
    </w:p>
    <w:p>
      <w:pPr>
        <w:jc w:val="center"/>
        <w:ind w:right="-19"/>
        <w:spacing w:after="0" w:line="237" w:lineRule="auto"/>
        <w:rPr>
          <w:sz w:val="20"/>
          <w:szCs w:val="20"/>
          <w:color w:val="auto"/>
        </w:rPr>
      </w:pPr>
      <w:r>
        <w:rPr>
          <w:rFonts w:ascii="Arial" w:cs="Arial" w:eastAsia="Arial" w:hAnsi="Arial"/>
          <w:sz w:val="17"/>
          <w:szCs w:val="17"/>
          <w:b w:val="1"/>
          <w:bCs w:val="1"/>
          <w:color w:val="auto"/>
        </w:rPr>
        <w:t>Dawson Street</w:t>
      </w:r>
    </w:p>
    <w:p>
      <w:pPr>
        <w:jc w:val="center"/>
        <w:ind w:right="-19"/>
        <w:spacing w:after="0" w:line="237" w:lineRule="auto"/>
        <w:rPr>
          <w:sz w:val="20"/>
          <w:szCs w:val="20"/>
          <w:color w:val="auto"/>
        </w:rPr>
      </w:pPr>
      <w:r>
        <w:rPr>
          <w:rFonts w:ascii="Arial" w:cs="Arial" w:eastAsia="Arial" w:hAnsi="Arial"/>
          <w:sz w:val="17"/>
          <w:szCs w:val="17"/>
          <w:b w:val="1"/>
          <w:bCs w:val="1"/>
          <w:color w:val="auto"/>
        </w:rPr>
        <w:t>Dublin 2</w:t>
      </w:r>
    </w:p>
    <w:p>
      <w:pPr>
        <w:jc w:val="center"/>
        <w:ind w:right="-19"/>
        <w:spacing w:after="0" w:line="237" w:lineRule="auto"/>
        <w:rPr>
          <w:sz w:val="20"/>
          <w:szCs w:val="20"/>
          <w:color w:val="auto"/>
        </w:rPr>
      </w:pPr>
      <w:r>
        <w:rPr>
          <w:rFonts w:ascii="Arial" w:cs="Arial" w:eastAsia="Arial" w:hAnsi="Arial"/>
          <w:sz w:val="17"/>
          <w:szCs w:val="17"/>
          <w:b w:val="1"/>
          <w:bCs w:val="1"/>
          <w:color w:val="auto"/>
        </w:rPr>
        <w:t>D02 RY95</w:t>
      </w:r>
    </w:p>
    <w:p>
      <w:pPr>
        <w:jc w:val="center"/>
        <w:ind w:right="-19"/>
        <w:spacing w:after="0" w:line="238" w:lineRule="auto"/>
        <w:rPr>
          <w:sz w:val="20"/>
          <w:szCs w:val="20"/>
          <w:color w:val="auto"/>
        </w:rPr>
      </w:pPr>
      <w:r>
        <w:rPr>
          <w:rFonts w:ascii="Arial" w:cs="Arial" w:eastAsia="Arial" w:hAnsi="Arial"/>
          <w:sz w:val="17"/>
          <w:szCs w:val="17"/>
          <w:b w:val="1"/>
          <w:bCs w:val="1"/>
          <w:color w:val="auto"/>
        </w:rPr>
        <w:t>Ireland</w:t>
      </w:r>
    </w:p>
    <w:p>
      <w:pPr>
        <w:jc w:val="center"/>
        <w:ind w:right="-19"/>
        <w:spacing w:after="0" w:line="237" w:lineRule="auto"/>
        <w:rPr>
          <w:sz w:val="20"/>
          <w:szCs w:val="20"/>
          <w:color w:val="auto"/>
        </w:rPr>
      </w:pPr>
      <w:r>
        <w:rPr>
          <w:rFonts w:ascii="Arial" w:cs="Arial" w:eastAsia="Arial" w:hAnsi="Arial"/>
          <w:sz w:val="17"/>
          <w:szCs w:val="17"/>
          <w:b w:val="1"/>
          <w:bCs w:val="1"/>
          <w:color w:val="auto"/>
        </w:rPr>
        <w:t>Tel: +353 1 437 8334</w:t>
      </w:r>
    </w:p>
    <w:p>
      <w:pPr>
        <w:jc w:val="center"/>
        <w:spacing w:after="0"/>
        <w:rPr>
          <w:sz w:val="20"/>
          <w:szCs w:val="20"/>
          <w:color w:val="auto"/>
        </w:rPr>
      </w:pPr>
      <w:r>
        <w:rPr>
          <w:rFonts w:ascii="Arial" w:cs="Arial" w:eastAsia="Arial" w:hAnsi="Arial"/>
          <w:sz w:val="17"/>
          <w:szCs w:val="17"/>
          <w:color w:val="auto"/>
        </w:rPr>
        <w:t>(Address and telephon</w:t>
      </w:r>
      <w:r>
        <w:rPr>
          <w:rFonts w:ascii="Arial" w:cs="Arial" w:eastAsia="Arial" w:hAnsi="Arial"/>
          <w:sz w:val="17"/>
          <w:szCs w:val="17"/>
          <w:u w:val="single" w:color="auto"/>
          <w:color w:val="auto"/>
        </w:rPr>
        <w:t>e number of Registrant’s prin</w:t>
      </w:r>
      <w:r>
        <w:rPr>
          <w:rFonts w:ascii="Arial" w:cs="Arial" w:eastAsia="Arial" w:hAnsi="Arial"/>
          <w:sz w:val="17"/>
          <w:szCs w:val="17"/>
          <w:color w:val="auto"/>
        </w:rPr>
        <w:t>cipal executive offices)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Cogency Global Inc.</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122 East 42nd Street, 18th Floor</w:t>
      </w:r>
    </w:p>
    <w:p>
      <w:pPr>
        <w:jc w:val="center"/>
        <w:ind w:right="80"/>
        <w:spacing w:after="0" w:line="237" w:lineRule="auto"/>
        <w:rPr>
          <w:sz w:val="20"/>
          <w:szCs w:val="20"/>
          <w:color w:val="auto"/>
        </w:rPr>
      </w:pPr>
      <w:r>
        <w:rPr>
          <w:rFonts w:ascii="Arial" w:cs="Arial" w:eastAsia="Arial" w:hAnsi="Arial"/>
          <w:sz w:val="17"/>
          <w:szCs w:val="17"/>
          <w:b w:val="1"/>
          <w:bCs w:val="1"/>
          <w:color w:val="auto"/>
        </w:rPr>
        <w:t>New York, NY 10168</w:t>
      </w:r>
    </w:p>
    <w:p>
      <w:pPr>
        <w:jc w:val="center"/>
        <w:spacing w:after="0" w:line="237" w:lineRule="auto"/>
        <w:rPr>
          <w:sz w:val="20"/>
          <w:szCs w:val="20"/>
          <w:color w:val="auto"/>
        </w:rPr>
      </w:pPr>
      <w:r>
        <w:rPr>
          <w:rFonts w:ascii="Arial" w:cs="Arial" w:eastAsia="Arial" w:hAnsi="Arial"/>
          <w:sz w:val="17"/>
          <w:szCs w:val="17"/>
          <w:b w:val="1"/>
          <w:bCs w:val="1"/>
          <w:color w:val="auto"/>
        </w:rPr>
        <w:t>Tel: (800) 221-0102</w:t>
      </w:r>
    </w:p>
    <w:p>
      <w:pPr>
        <w:jc w:val="center"/>
        <w:spacing w:after="0" w:line="238" w:lineRule="auto"/>
        <w:rPr>
          <w:sz w:val="20"/>
          <w:szCs w:val="20"/>
          <w:color w:val="auto"/>
        </w:rPr>
      </w:pPr>
      <w:r>
        <w:rPr>
          <w:rFonts w:ascii="Arial" w:cs="Arial" w:eastAsia="Arial" w:hAnsi="Arial"/>
          <w:sz w:val="17"/>
          <w:szCs w:val="17"/>
          <w:color w:val="auto"/>
        </w:rPr>
        <w:t>(Name, address, and telephone number of agent for service)</w:t>
      </w:r>
    </w:p>
    <w:tbl>
      <w:tblPr>
        <w:tblLayout w:type="fixed"/>
        <w:tblInd w:w="1380" w:type="dxa"/>
        <w:tblCellMar>
          <w:top w:w="0" w:type="dxa"/>
          <w:left w:w="0" w:type="dxa"/>
          <w:bottom w:w="0" w:type="dxa"/>
          <w:right w:w="0" w:type="dxa"/>
        </w:tblCellMar>
      </w:tblPr>
      <w:tr>
        <w:trPr>
          <w:trHeight w:val="180"/>
        </w:trPr>
        <w:tc>
          <w:tcPr>
            <w:tcW w:w="3120" w:type="dxa"/>
            <w:vAlign w:val="bottom"/>
          </w:tcPr>
          <w:p>
            <w:pPr>
              <w:spacing w:after="0"/>
              <w:rPr>
                <w:sz w:val="15"/>
                <w:szCs w:val="15"/>
                <w:color w:val="auto"/>
              </w:rPr>
            </w:pPr>
          </w:p>
        </w:tc>
        <w:tc>
          <w:tcPr>
            <w:tcW w:w="2260" w:type="dxa"/>
            <w:vAlign w:val="bottom"/>
            <w:tcBorders>
              <w:top w:val="single" w:sz="8" w:color="auto"/>
            </w:tcBorders>
          </w:tcPr>
          <w:p>
            <w:pPr>
              <w:ind w:left="700"/>
              <w:spacing w:after="0" w:line="180" w:lineRule="exact"/>
              <w:rPr>
                <w:sz w:val="20"/>
                <w:szCs w:val="20"/>
                <w:color w:val="auto"/>
              </w:rPr>
            </w:pPr>
            <w:r>
              <w:rPr>
                <w:rFonts w:ascii="Arial" w:cs="Arial" w:eastAsia="Arial" w:hAnsi="Arial"/>
                <w:sz w:val="17"/>
                <w:szCs w:val="17"/>
                <w:b w:val="1"/>
                <w:bCs w:val="1"/>
                <w:i w:val="1"/>
                <w:iCs w:val="1"/>
                <w:color w:val="auto"/>
              </w:rPr>
              <w:t>Copies to:</w:t>
            </w:r>
          </w:p>
        </w:tc>
        <w:tc>
          <w:tcPr>
            <w:tcW w:w="3480" w:type="dxa"/>
            <w:vAlign w:val="bottom"/>
          </w:tcPr>
          <w:p>
            <w:pPr>
              <w:spacing w:after="0"/>
              <w:rPr>
                <w:sz w:val="15"/>
                <w:szCs w:val="15"/>
                <w:color w:val="auto"/>
              </w:rPr>
            </w:pPr>
          </w:p>
        </w:tc>
      </w:tr>
      <w:tr>
        <w:trPr>
          <w:trHeight w:val="193"/>
        </w:trPr>
        <w:tc>
          <w:tcPr>
            <w:tcW w:w="3120" w:type="dxa"/>
            <w:vAlign w:val="bottom"/>
          </w:tcPr>
          <w:p>
            <w:pPr>
              <w:jc w:val="center"/>
              <w:ind w:right="834"/>
              <w:spacing w:after="0" w:line="194" w:lineRule="exact"/>
              <w:rPr>
                <w:sz w:val="20"/>
                <w:szCs w:val="20"/>
                <w:color w:val="auto"/>
              </w:rPr>
            </w:pPr>
            <w:r>
              <w:rPr>
                <w:rFonts w:ascii="Arial" w:cs="Arial" w:eastAsia="Arial" w:hAnsi="Arial"/>
                <w:sz w:val="17"/>
                <w:szCs w:val="17"/>
                <w:b w:val="1"/>
                <w:bCs w:val="1"/>
                <w:color w:val="auto"/>
              </w:rPr>
              <w:t>Deanna L. Kirkpatrick</w:t>
            </w:r>
          </w:p>
        </w:tc>
        <w:tc>
          <w:tcPr>
            <w:tcW w:w="2260" w:type="dxa"/>
            <w:vAlign w:val="bottom"/>
          </w:tcPr>
          <w:p>
            <w:pPr>
              <w:spacing w:after="0"/>
              <w:rPr>
                <w:sz w:val="16"/>
                <w:szCs w:val="16"/>
                <w:color w:val="auto"/>
              </w:rPr>
            </w:pPr>
          </w:p>
        </w:tc>
        <w:tc>
          <w:tcPr>
            <w:tcW w:w="3480" w:type="dxa"/>
            <w:vAlign w:val="bottom"/>
          </w:tcPr>
          <w:p>
            <w:pPr>
              <w:jc w:val="center"/>
              <w:ind w:left="454"/>
              <w:spacing w:after="0" w:line="194" w:lineRule="exact"/>
              <w:rPr>
                <w:sz w:val="20"/>
                <w:szCs w:val="20"/>
                <w:color w:val="auto"/>
              </w:rPr>
            </w:pPr>
            <w:r>
              <w:rPr>
                <w:rFonts w:ascii="Arial" w:cs="Arial" w:eastAsia="Arial" w:hAnsi="Arial"/>
                <w:sz w:val="17"/>
                <w:szCs w:val="17"/>
                <w:b w:val="1"/>
                <w:bCs w:val="1"/>
                <w:color w:val="auto"/>
              </w:rPr>
              <w:t>Alan Casey</w:t>
            </w:r>
          </w:p>
        </w:tc>
      </w:tr>
      <w:tr>
        <w:trPr>
          <w:trHeight w:val="193"/>
        </w:trPr>
        <w:tc>
          <w:tcPr>
            <w:tcW w:w="3120" w:type="dxa"/>
            <w:vAlign w:val="bottom"/>
          </w:tcPr>
          <w:p>
            <w:pPr>
              <w:jc w:val="center"/>
              <w:ind w:right="834"/>
              <w:spacing w:after="0" w:line="194" w:lineRule="exact"/>
              <w:rPr>
                <w:sz w:val="20"/>
                <w:szCs w:val="20"/>
                <w:color w:val="auto"/>
              </w:rPr>
            </w:pPr>
            <w:r>
              <w:rPr>
                <w:rFonts w:ascii="Arial" w:cs="Arial" w:eastAsia="Arial" w:hAnsi="Arial"/>
                <w:sz w:val="17"/>
                <w:szCs w:val="17"/>
                <w:b w:val="1"/>
                <w:bCs w:val="1"/>
                <w:color w:val="auto"/>
              </w:rPr>
              <w:t>Yasin Keshvargar</w:t>
            </w:r>
          </w:p>
        </w:tc>
        <w:tc>
          <w:tcPr>
            <w:tcW w:w="2260" w:type="dxa"/>
            <w:vAlign w:val="bottom"/>
          </w:tcPr>
          <w:p>
            <w:pPr>
              <w:spacing w:after="0"/>
              <w:rPr>
                <w:sz w:val="16"/>
                <w:szCs w:val="16"/>
                <w:color w:val="auto"/>
              </w:rPr>
            </w:pPr>
          </w:p>
        </w:tc>
        <w:tc>
          <w:tcPr>
            <w:tcW w:w="3480" w:type="dxa"/>
            <w:vAlign w:val="bottom"/>
          </w:tcPr>
          <w:p>
            <w:pPr>
              <w:jc w:val="center"/>
              <w:ind w:left="454"/>
              <w:spacing w:after="0" w:line="194" w:lineRule="exact"/>
              <w:rPr>
                <w:sz w:val="20"/>
                <w:szCs w:val="20"/>
                <w:color w:val="auto"/>
              </w:rPr>
            </w:pPr>
            <w:r>
              <w:rPr>
                <w:rFonts w:ascii="Arial" w:cs="Arial" w:eastAsia="Arial" w:hAnsi="Arial"/>
                <w:sz w:val="17"/>
                <w:szCs w:val="17"/>
                <w:b w:val="1"/>
                <w:bCs w:val="1"/>
                <w:color w:val="auto"/>
              </w:rPr>
              <w:t>A&amp;L Goodbody LLP</w:t>
            </w:r>
          </w:p>
        </w:tc>
      </w:tr>
      <w:tr>
        <w:trPr>
          <w:trHeight w:val="193"/>
        </w:trPr>
        <w:tc>
          <w:tcPr>
            <w:tcW w:w="3120" w:type="dxa"/>
            <w:vAlign w:val="bottom"/>
          </w:tcPr>
          <w:p>
            <w:pPr>
              <w:jc w:val="center"/>
              <w:ind w:right="834"/>
              <w:spacing w:after="0" w:line="194" w:lineRule="exact"/>
              <w:rPr>
                <w:sz w:val="20"/>
                <w:szCs w:val="20"/>
                <w:color w:val="auto"/>
              </w:rPr>
            </w:pPr>
            <w:r>
              <w:rPr>
                <w:rFonts w:ascii="Arial" w:cs="Arial" w:eastAsia="Arial" w:hAnsi="Arial"/>
                <w:sz w:val="17"/>
                <w:szCs w:val="17"/>
                <w:b w:val="1"/>
                <w:bCs w:val="1"/>
                <w:color w:val="auto"/>
              </w:rPr>
              <w:t>Davis Polk &amp; Wardwell LLP</w:t>
            </w:r>
          </w:p>
        </w:tc>
        <w:tc>
          <w:tcPr>
            <w:tcW w:w="2260" w:type="dxa"/>
            <w:vAlign w:val="bottom"/>
          </w:tcPr>
          <w:p>
            <w:pPr>
              <w:spacing w:after="0"/>
              <w:rPr>
                <w:sz w:val="16"/>
                <w:szCs w:val="16"/>
                <w:color w:val="auto"/>
              </w:rPr>
            </w:pPr>
          </w:p>
        </w:tc>
        <w:tc>
          <w:tcPr>
            <w:tcW w:w="3480" w:type="dxa"/>
            <w:vAlign w:val="bottom"/>
          </w:tcPr>
          <w:p>
            <w:pPr>
              <w:jc w:val="center"/>
              <w:ind w:left="454"/>
              <w:spacing w:after="0" w:line="194" w:lineRule="exact"/>
              <w:rPr>
                <w:sz w:val="20"/>
                <w:szCs w:val="20"/>
                <w:color w:val="auto"/>
              </w:rPr>
            </w:pPr>
            <w:r>
              <w:rPr>
                <w:rFonts w:ascii="Arial" w:cs="Arial" w:eastAsia="Arial" w:hAnsi="Arial"/>
                <w:sz w:val="17"/>
                <w:szCs w:val="17"/>
                <w:b w:val="1"/>
                <w:bCs w:val="1"/>
                <w:color w:val="auto"/>
              </w:rPr>
              <w:t>3 Dublin Landings, North Wall Quay,</w:t>
            </w:r>
          </w:p>
        </w:tc>
      </w:tr>
      <w:tr>
        <w:trPr>
          <w:trHeight w:val="193"/>
        </w:trPr>
        <w:tc>
          <w:tcPr>
            <w:tcW w:w="3120" w:type="dxa"/>
            <w:vAlign w:val="bottom"/>
          </w:tcPr>
          <w:p>
            <w:pPr>
              <w:jc w:val="center"/>
              <w:ind w:right="834"/>
              <w:spacing w:after="0" w:line="194" w:lineRule="exact"/>
              <w:rPr>
                <w:sz w:val="20"/>
                <w:szCs w:val="20"/>
                <w:color w:val="auto"/>
              </w:rPr>
            </w:pPr>
            <w:r>
              <w:rPr>
                <w:rFonts w:ascii="Arial" w:cs="Arial" w:eastAsia="Arial" w:hAnsi="Arial"/>
                <w:sz w:val="17"/>
                <w:szCs w:val="17"/>
                <w:b w:val="1"/>
                <w:bCs w:val="1"/>
                <w:color w:val="auto"/>
                <w:w w:val="99"/>
              </w:rPr>
              <w:t>450 Lexington Avenue</w:t>
            </w:r>
          </w:p>
        </w:tc>
        <w:tc>
          <w:tcPr>
            <w:tcW w:w="2260" w:type="dxa"/>
            <w:vAlign w:val="bottom"/>
          </w:tcPr>
          <w:p>
            <w:pPr>
              <w:spacing w:after="0"/>
              <w:rPr>
                <w:sz w:val="16"/>
                <w:szCs w:val="16"/>
                <w:color w:val="auto"/>
              </w:rPr>
            </w:pPr>
          </w:p>
        </w:tc>
        <w:tc>
          <w:tcPr>
            <w:tcW w:w="3480" w:type="dxa"/>
            <w:vAlign w:val="bottom"/>
          </w:tcPr>
          <w:p>
            <w:pPr>
              <w:jc w:val="center"/>
              <w:ind w:left="474"/>
              <w:spacing w:after="0" w:line="194" w:lineRule="exact"/>
              <w:rPr>
                <w:sz w:val="20"/>
                <w:szCs w:val="20"/>
                <w:color w:val="auto"/>
              </w:rPr>
            </w:pPr>
            <w:r>
              <w:rPr>
                <w:rFonts w:ascii="Arial" w:cs="Arial" w:eastAsia="Arial" w:hAnsi="Arial"/>
                <w:sz w:val="17"/>
                <w:szCs w:val="17"/>
                <w:b w:val="1"/>
                <w:bCs w:val="1"/>
                <w:color w:val="auto"/>
              </w:rPr>
              <w:t>Dublin 1, D01 C4E0</w:t>
            </w:r>
          </w:p>
        </w:tc>
      </w:tr>
      <w:tr>
        <w:trPr>
          <w:trHeight w:val="193"/>
        </w:trPr>
        <w:tc>
          <w:tcPr>
            <w:tcW w:w="3120" w:type="dxa"/>
            <w:vAlign w:val="bottom"/>
          </w:tcPr>
          <w:p>
            <w:pPr>
              <w:jc w:val="center"/>
              <w:ind w:right="834"/>
              <w:spacing w:after="0" w:line="194" w:lineRule="exact"/>
              <w:rPr>
                <w:sz w:val="20"/>
                <w:szCs w:val="20"/>
                <w:color w:val="auto"/>
              </w:rPr>
            </w:pPr>
            <w:r>
              <w:rPr>
                <w:rFonts w:ascii="Arial" w:cs="Arial" w:eastAsia="Arial" w:hAnsi="Arial"/>
                <w:sz w:val="17"/>
                <w:szCs w:val="17"/>
                <w:b w:val="1"/>
                <w:bCs w:val="1"/>
                <w:color w:val="auto"/>
              </w:rPr>
              <w:t>New York, NY 10017</w:t>
            </w:r>
          </w:p>
        </w:tc>
        <w:tc>
          <w:tcPr>
            <w:tcW w:w="2260" w:type="dxa"/>
            <w:vAlign w:val="bottom"/>
          </w:tcPr>
          <w:p>
            <w:pPr>
              <w:spacing w:after="0"/>
              <w:rPr>
                <w:sz w:val="16"/>
                <w:szCs w:val="16"/>
                <w:color w:val="auto"/>
              </w:rPr>
            </w:pPr>
          </w:p>
        </w:tc>
        <w:tc>
          <w:tcPr>
            <w:tcW w:w="3480" w:type="dxa"/>
            <w:vAlign w:val="bottom"/>
          </w:tcPr>
          <w:p>
            <w:pPr>
              <w:jc w:val="center"/>
              <w:ind w:left="474"/>
              <w:spacing w:after="0" w:line="194" w:lineRule="exact"/>
              <w:rPr>
                <w:sz w:val="20"/>
                <w:szCs w:val="20"/>
                <w:color w:val="auto"/>
              </w:rPr>
            </w:pPr>
            <w:r>
              <w:rPr>
                <w:rFonts w:ascii="Arial" w:cs="Arial" w:eastAsia="Arial" w:hAnsi="Arial"/>
                <w:sz w:val="17"/>
                <w:szCs w:val="17"/>
                <w:b w:val="1"/>
                <w:bCs w:val="1"/>
                <w:color w:val="auto"/>
              </w:rPr>
              <w:t>Ireland</w:t>
            </w:r>
          </w:p>
        </w:tc>
      </w:tr>
      <w:tr>
        <w:trPr>
          <w:trHeight w:val="237"/>
        </w:trPr>
        <w:tc>
          <w:tcPr>
            <w:tcW w:w="3120" w:type="dxa"/>
            <w:vAlign w:val="bottom"/>
          </w:tcPr>
          <w:p>
            <w:pPr>
              <w:jc w:val="center"/>
              <w:ind w:right="834"/>
              <w:spacing w:after="0"/>
              <w:rPr>
                <w:sz w:val="20"/>
                <w:szCs w:val="20"/>
                <w:color w:val="auto"/>
              </w:rPr>
            </w:pPr>
            <w:r>
              <w:rPr>
                <w:rFonts w:ascii="Arial" w:cs="Arial" w:eastAsia="Arial" w:hAnsi="Arial"/>
                <w:sz w:val="17"/>
                <w:szCs w:val="17"/>
                <w:b w:val="1"/>
                <w:bCs w:val="1"/>
                <w:color w:val="auto"/>
              </w:rPr>
              <w:t>Tel: (212) 450-4000</w:t>
            </w:r>
          </w:p>
        </w:tc>
        <w:tc>
          <w:tcPr>
            <w:tcW w:w="2260" w:type="dxa"/>
            <w:vAlign w:val="bottom"/>
          </w:tcPr>
          <w:p>
            <w:pPr>
              <w:spacing w:after="0"/>
              <w:rPr>
                <w:sz w:val="20"/>
                <w:szCs w:val="20"/>
                <w:color w:val="auto"/>
              </w:rPr>
            </w:pPr>
          </w:p>
        </w:tc>
        <w:tc>
          <w:tcPr>
            <w:tcW w:w="3480" w:type="dxa"/>
            <w:vAlign w:val="bottom"/>
          </w:tcPr>
          <w:p>
            <w:pPr>
              <w:jc w:val="center"/>
              <w:ind w:left="474"/>
              <w:spacing w:after="0"/>
              <w:rPr>
                <w:sz w:val="20"/>
                <w:szCs w:val="20"/>
                <w:color w:val="auto"/>
              </w:rPr>
            </w:pPr>
            <w:r>
              <w:rPr>
                <w:rFonts w:ascii="Arial" w:cs="Arial" w:eastAsia="Arial" w:hAnsi="Arial"/>
                <w:sz w:val="17"/>
                <w:szCs w:val="17"/>
                <w:b w:val="1"/>
                <w:bCs w:val="1"/>
                <w:color w:val="auto"/>
                <w:w w:val="99"/>
              </w:rPr>
              <w:t>Tel: +353 1 649-2000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-15240</wp:posOffset>
            </wp:positionV>
            <wp:extent cx="1431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effectiveness of this registration statement.</w:t>
      </w:r>
    </w:p>
    <w:p>
      <w:pPr>
        <w:spacing w:after="0" w:line="187" w:lineRule="exact"/>
        <w:rPr>
          <w:sz w:val="24"/>
          <w:szCs w:val="24"/>
          <w:color w:val="auto"/>
        </w:rPr>
      </w:pPr>
    </w:p>
    <w:p>
      <w:pPr>
        <w:jc w:val="center"/>
        <w:ind w:left="640" w:right="40"/>
        <w:spacing w:after="0" w:line="217" w:lineRule="exact"/>
        <w:rPr>
          <w:sz w:val="20"/>
          <w:szCs w:val="20"/>
          <w:color w:val="auto"/>
        </w:rPr>
      </w:pPr>
      <w:r>
        <w:rPr>
          <w:rFonts w:ascii="Arial" w:cs="Arial" w:eastAsia="Arial" w:hAnsi="Arial"/>
          <w:sz w:val="17"/>
          <w:szCs w:val="17"/>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46" w:lineRule="exact"/>
        <w:rPr>
          <w:sz w:val="24"/>
          <w:szCs w:val="24"/>
          <w:color w:val="auto"/>
        </w:rPr>
      </w:pPr>
    </w:p>
    <w:p>
      <w:pPr>
        <w:jc w:val="center"/>
        <w:ind w:left="640" w:right="340"/>
        <w:spacing w:after="0" w:line="217"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46" w:lineRule="exact"/>
        <w:rPr>
          <w:sz w:val="24"/>
          <w:szCs w:val="24"/>
          <w:color w:val="auto"/>
        </w:rPr>
      </w:pPr>
    </w:p>
    <w:p>
      <w:pPr>
        <w:ind w:left="700" w:right="120" w:hanging="270"/>
        <w:spacing w:after="0" w:line="217"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46" w:lineRule="exact"/>
        <w:rPr>
          <w:sz w:val="24"/>
          <w:szCs w:val="24"/>
          <w:color w:val="auto"/>
        </w:rPr>
      </w:pPr>
    </w:p>
    <w:p>
      <w:pPr>
        <w:ind w:left="1720" w:right="60" w:hanging="1338"/>
        <w:spacing w:after="0" w:line="217"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46" w:lineRule="exact"/>
        <w:rPr>
          <w:sz w:val="24"/>
          <w:szCs w:val="24"/>
          <w:color w:val="auto"/>
        </w:rPr>
      </w:pPr>
    </w:p>
    <w:p>
      <w:pPr>
        <w:ind w:left="1500" w:right="140" w:hanging="1047"/>
        <w:spacing w:after="0" w:line="217" w:lineRule="exact"/>
        <w:rPr>
          <w:sz w:val="20"/>
          <w:szCs w:val="20"/>
          <w:color w:val="auto"/>
        </w:rPr>
      </w:pPr>
      <w:r>
        <w:rPr>
          <w:rFonts w:ascii="Arial" w:cs="Arial" w:eastAsia="Arial" w:hAnsi="Arial"/>
          <w:sz w:val="17"/>
          <w:szCs w:val="17"/>
          <w:color w:val="auto"/>
        </w:rPr>
        <w:t xml:space="preserve">If this Form is a registration statement pursuant to General Instruction 1.C.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46" w:lineRule="exact"/>
        <w:rPr>
          <w:sz w:val="24"/>
          <w:szCs w:val="24"/>
          <w:color w:val="auto"/>
        </w:rPr>
      </w:pPr>
    </w:p>
    <w:p>
      <w:pPr>
        <w:ind w:left="1060" w:right="340" w:hanging="410"/>
        <w:spacing w:after="0" w:line="217"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46" w:lineRule="exact"/>
        <w:rPr>
          <w:sz w:val="24"/>
          <w:szCs w:val="24"/>
          <w:color w:val="auto"/>
        </w:rPr>
      </w:pPr>
    </w:p>
    <w:p>
      <w:pPr>
        <w:ind w:left="800"/>
        <w:spacing w:after="0"/>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w:t>
      </w:r>
    </w:p>
    <w:p>
      <w:pPr>
        <w:spacing w:after="0" w:line="163" w:lineRule="exact"/>
        <w:rPr>
          <w:sz w:val="24"/>
          <w:szCs w:val="24"/>
          <w:color w:val="auto"/>
        </w:rPr>
      </w:pPr>
    </w:p>
    <w:p>
      <w:pPr>
        <w:ind w:left="90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19" w:lineRule="exact"/>
        <w:rPr>
          <w:sz w:val="24"/>
          <w:szCs w:val="24"/>
          <w:color w:val="auto"/>
        </w:rPr>
      </w:pPr>
    </w:p>
    <w:p>
      <w:pPr>
        <w:ind w:left="140" w:right="140" w:firstLine="324"/>
        <w:spacing w:after="0" w:line="244" w:lineRule="auto"/>
        <w:rPr>
          <w:sz w:val="20"/>
          <w:szCs w:val="20"/>
          <w:color w:val="auto"/>
        </w:rPr>
      </w:pPr>
      <w:r>
        <w:rPr>
          <w:rFonts w:ascii="Arial" w:cs="Arial" w:eastAsia="Arial" w:hAnsi="Arial"/>
          <w:sz w:val="17"/>
          <w:szCs w:val="17"/>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w:t>
      </w:r>
    </w:p>
    <w:p>
      <w:pPr>
        <w:spacing w:after="0" w:line="1"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 xml:space="preserve">Section 7(a)(2)(B) of the Securities Act. </w:t>
      </w:r>
      <w:r>
        <w:rPr>
          <w:rFonts w:ascii="MS PGothic" w:cs="MS PGothic" w:eastAsia="MS PGothic" w:hAnsi="MS PGothic"/>
          <w:sz w:val="17"/>
          <w:szCs w:val="17"/>
          <w:color w:val="auto"/>
        </w:rPr>
        <w:t>☐</w:t>
      </w:r>
    </w:p>
    <w:p>
      <w:pPr>
        <w:spacing w:after="0" w:line="179" w:lineRule="exact"/>
        <w:rPr>
          <w:sz w:val="24"/>
          <w:szCs w:val="24"/>
          <w:color w:val="auto"/>
        </w:rPr>
      </w:pPr>
    </w:p>
    <w:p>
      <w:pPr>
        <w:ind w:left="580" w:hanging="151"/>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term “new or revised financial accounting standard” refers to any update issued by the Financial Accounting Standards Board to its</w:t>
      </w:r>
    </w:p>
    <w:p>
      <w:pPr>
        <w:spacing w:after="0" w:line="13" w:lineRule="exact"/>
        <w:rPr>
          <w:rFonts w:ascii="Arial" w:cs="Arial" w:eastAsia="Arial" w:hAnsi="Arial"/>
          <w:sz w:val="17"/>
          <w:szCs w:val="17"/>
          <w:color w:val="auto"/>
        </w:rPr>
      </w:pPr>
    </w:p>
    <w:p>
      <w:pPr>
        <w:ind w:left="3580"/>
        <w:spacing w:after="0"/>
        <w:rPr>
          <w:rFonts w:ascii="Arial" w:cs="Arial" w:eastAsia="Arial" w:hAnsi="Arial"/>
          <w:sz w:val="17"/>
          <w:szCs w:val="17"/>
          <w:color w:val="auto"/>
        </w:rPr>
      </w:pPr>
      <w:r>
        <w:rPr>
          <w:rFonts w:ascii="Arial" w:cs="Arial" w:eastAsia="Arial" w:hAnsi="Arial"/>
          <w:sz w:val="17"/>
          <w:szCs w:val="17"/>
          <w:color w:val="auto"/>
        </w:rPr>
        <w:t xml:space="preserve">Accounting </w:t>
      </w:r>
      <w:r>
        <w:rPr>
          <w:rFonts w:ascii="Arial" w:cs="Arial" w:eastAsia="Arial" w:hAnsi="Arial"/>
          <w:sz w:val="17"/>
          <w:szCs w:val="17"/>
          <w:u w:val="single" w:color="auto"/>
          <w:color w:val="auto"/>
        </w:rPr>
        <w:t>Standards Codification after A</w:t>
      </w:r>
      <w:r>
        <w:rPr>
          <w:rFonts w:ascii="Arial" w:cs="Arial" w:eastAsia="Arial" w:hAnsi="Arial"/>
          <w:sz w:val="17"/>
          <w:szCs w:val="17"/>
          <w:color w:val="auto"/>
        </w:rPr>
        <w:t>pril 5, 2012.</w:t>
      </w:r>
    </w:p>
    <w:p>
      <w:pPr>
        <w:spacing w:after="0" w:line="14" w:lineRule="exact"/>
        <w:rPr>
          <w:sz w:val="24"/>
          <w:szCs w:val="24"/>
          <w:color w:val="auto"/>
        </w:rPr>
      </w:pPr>
    </w:p>
    <w:p>
      <w:pPr>
        <w:jc w:val="both"/>
        <w:ind w:firstLine="309"/>
        <w:spacing w:after="0" w:line="250"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160020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642620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1" w:name="page2"/>
    <w:bookmarkEnd w:id="1"/>
    <w:p>
      <w:pPr>
        <w:jc w:val="both"/>
        <w:spacing w:after="0" w:line="254" w:lineRule="auto"/>
        <w:rPr>
          <w:sz w:val="20"/>
          <w:szCs w:val="20"/>
          <w:color w:val="auto"/>
        </w:rPr>
      </w:pPr>
      <w:r>
        <w:rPr>
          <w:rFonts w:ascii="Arial" w:cs="Arial" w:eastAsia="Arial" w:hAnsi="Arial"/>
          <w:sz w:val="17"/>
          <w:szCs w:val="17"/>
          <w:i w:val="1"/>
          <w:i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offers to buy these securities in any jurisdiction where the offer or sale is not permitted.</w:t>
      </w:r>
    </w:p>
    <w:p>
      <w:pPr>
        <w:spacing w:after="0" w:line="148" w:lineRule="exact"/>
        <w:rPr>
          <w:sz w:val="20"/>
          <w:szCs w:val="20"/>
          <w:color w:val="auto"/>
        </w:rPr>
      </w:pPr>
    </w:p>
    <w:p>
      <w:pPr>
        <w:spacing w:after="0"/>
        <w:tabs>
          <w:tab w:leader="none" w:pos="3480" w:val="left"/>
        </w:tabs>
        <w:rPr>
          <w:sz w:val="20"/>
          <w:szCs w:val="20"/>
          <w:color w:val="auto"/>
        </w:rPr>
      </w:pPr>
      <w:r>
        <w:rPr>
          <w:rFonts w:ascii="Arial" w:cs="Arial" w:eastAsia="Arial" w:hAnsi="Arial"/>
          <w:sz w:val="17"/>
          <w:szCs w:val="17"/>
          <w:b w:val="1"/>
          <w:bCs w:val="1"/>
          <w:color w:val="auto"/>
        </w:rPr>
        <w:t>PROSPECTUS</w:t>
      </w:r>
      <w:r>
        <w:rPr>
          <w:sz w:val="20"/>
          <w:szCs w:val="20"/>
          <w:color w:val="auto"/>
        </w:rPr>
        <w:tab/>
      </w:r>
      <w:r>
        <w:rPr>
          <w:rFonts w:ascii="Arial" w:cs="Arial" w:eastAsia="Arial" w:hAnsi="Arial"/>
          <w:sz w:val="17"/>
          <w:szCs w:val="17"/>
          <w:b w:val="1"/>
          <w:bCs w:val="1"/>
          <w:color w:val="FF0000"/>
        </w:rPr>
        <w:t>SUBJECT TO COMPLETION, DATED MARCH 9, 2023</w:t>
      </w:r>
    </w:p>
    <w:p>
      <w:pPr>
        <w:spacing w:after="0" w:line="191"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$200,000,000</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Ordinary Shares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Debt Securities</w:t>
      </w:r>
    </w:p>
    <w:p>
      <w:pPr>
        <w:jc w:val="center"/>
        <w:spacing w:after="0" w:line="237" w:lineRule="auto"/>
        <w:rPr>
          <w:sz w:val="20"/>
          <w:szCs w:val="20"/>
          <w:color w:val="auto"/>
        </w:rPr>
      </w:pPr>
      <w:r>
        <w:rPr>
          <w:rFonts w:ascii="Arial" w:cs="Arial" w:eastAsia="Arial" w:hAnsi="Arial"/>
          <w:sz w:val="17"/>
          <w:szCs w:val="17"/>
          <w:b w:val="1"/>
          <w:bCs w:val="1"/>
          <w:color w:val="auto"/>
        </w:rPr>
        <w:t>Warrants</w:t>
      </w:r>
    </w:p>
    <w:p>
      <w:pPr>
        <w:jc w:val="center"/>
        <w:spacing w:after="0" w:line="237" w:lineRule="auto"/>
        <w:rPr>
          <w:sz w:val="20"/>
          <w:szCs w:val="20"/>
          <w:color w:val="auto"/>
        </w:rPr>
      </w:pPr>
      <w:r>
        <w:rPr>
          <w:rFonts w:ascii="Arial" w:cs="Arial" w:eastAsia="Arial" w:hAnsi="Arial"/>
          <w:sz w:val="17"/>
          <w:szCs w:val="17"/>
          <w:b w:val="1"/>
          <w:bCs w:val="1"/>
          <w:color w:val="auto"/>
        </w:rPr>
        <w:t>Units</w:t>
      </w:r>
    </w:p>
    <w:p>
      <w:pPr>
        <w:jc w:val="center"/>
        <w:spacing w:after="0"/>
        <w:rPr>
          <w:sz w:val="20"/>
          <w:szCs w:val="20"/>
          <w:color w:val="auto"/>
        </w:rPr>
      </w:pPr>
      <w:r>
        <w:rPr>
          <w:rFonts w:ascii="Arial" w:cs="Arial" w:eastAsia="Arial" w:hAnsi="Arial"/>
          <w:sz w:val="17"/>
          <w:szCs w:val="17"/>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0</wp:posOffset>
            </wp:positionV>
            <wp:extent cx="2764155" cy="596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4155" cy="59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may offer and sell from time to time, in one or more offerings, up to $200,000,000 of any combination of the following securities: ordinary shares, debt securities, warrants, units or subscription rights,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The securities covered by this prospectus may be offered through one or more underwriters, dealers and agents, or directly to purchasers. The names of any underwriters, dealers or agents, if any, the applicable commissions or discounts payable to them and the specific terms of the plan of distribution will be included in a supplement to this prospectus. For general information about the distribution of securities offered, please see “Plan of Distribution” beginning on page </w:t>
      </w:r>
      <w:r>
        <w:rPr>
          <w:rFonts w:ascii="Arial" w:cs="Arial" w:eastAsia="Arial" w:hAnsi="Arial"/>
          <w:sz w:val="17"/>
          <w:szCs w:val="17"/>
          <w:u w:val="single" w:color="auto"/>
          <w:color w:val="0000EE"/>
        </w:rPr>
        <w:t>37</w:t>
      </w:r>
      <w:r>
        <w:rPr>
          <w:rFonts w:ascii="Arial" w:cs="Arial" w:eastAsia="Arial" w:hAnsi="Arial"/>
          <w:sz w:val="17"/>
          <w:szCs w:val="17"/>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Our ordinary shares are listed on the Nasdaq Global Market, or Nasdaq, under the symbol “GHRS”.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under the applicable Securities and Exchange Commission, or SEC, rules and have elected to comply with certain reduced public company reporting requirements for this prospectus and future filings.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Our business and investment in our securities involve significant risks. These risks are described under the caption “Risk Factors” beginning on page </w:t>
      </w:r>
      <w:r>
        <w:rPr>
          <w:rFonts w:ascii="Arial" w:cs="Arial" w:eastAsia="Arial" w:hAnsi="Arial"/>
          <w:sz w:val="17"/>
          <w:szCs w:val="17"/>
          <w:b w:val="1"/>
          <w:bCs w:val="1"/>
          <w:u w:val="single" w:color="auto"/>
          <w:color w:val="0000EE"/>
        </w:rPr>
        <w:t>5</w:t>
      </w:r>
      <w:r>
        <w:rPr>
          <w:rFonts w:ascii="Arial" w:cs="Arial" w:eastAsia="Arial" w:hAnsi="Arial"/>
          <w:sz w:val="17"/>
          <w:szCs w:val="17"/>
          <w:b w:val="1"/>
          <w:bCs w:val="1"/>
          <w:color w:val="auto"/>
        </w:rPr>
        <w:t xml:space="preserve"> of this prospectus and, if applicable, any risk factors described in any applicable prospectus supplement and in our SEC filings that are incorporated by reference in this prospectus.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20" w:type="dxa"/>
            <w:vAlign w:val="bottom"/>
          </w:tcPr>
          <w:p>
            <w:pPr>
              <w:ind w:left="4480"/>
              <w:spacing w:after="0"/>
              <w:rPr>
                <w:sz w:val="20"/>
                <w:szCs w:val="20"/>
                <w:color w:val="auto"/>
              </w:rPr>
            </w:pPr>
            <w:r>
              <w:rPr>
                <w:rFonts w:ascii="Arial" w:cs="Arial" w:eastAsia="Arial" w:hAnsi="Arial"/>
                <w:sz w:val="17"/>
                <w:szCs w:val="17"/>
                <w:color w:val="auto"/>
              </w:rPr>
              <w:t>Prospectus dated</w:t>
            </w:r>
          </w:p>
        </w:tc>
        <w:tc>
          <w:tcPr>
            <w:tcW w:w="5220" w:type="dxa"/>
            <w:vAlign w:val="bottom"/>
          </w:tcPr>
          <w:p>
            <w:pPr>
              <w:jc w:val="right"/>
              <w:ind w:right="4394"/>
              <w:spacing w:after="0"/>
              <w:rPr>
                <w:sz w:val="20"/>
                <w:szCs w:val="20"/>
                <w:color w:val="auto"/>
              </w:rPr>
            </w:pPr>
            <w:r>
              <w:rPr>
                <w:rFonts w:ascii="Arial" w:cs="Arial" w:eastAsia="Arial" w:hAnsi="Arial"/>
                <w:sz w:val="17"/>
                <w:szCs w:val="17"/>
                <w:color w:val="auto"/>
              </w:rPr>
              <w:t>, 2023.</w:t>
            </w:r>
          </w:p>
        </w:tc>
      </w:tr>
      <w:tr>
        <w:trPr>
          <w:trHeight w:val="513"/>
        </w:trPr>
        <w:tc>
          <w:tcPr>
            <w:tcW w:w="60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gridSpan w:val="2"/>
          </w:tcPr>
          <w:p>
            <w:pPr>
              <w:ind w:left="960"/>
              <w:spacing w:after="0"/>
              <w:rPr>
                <w:sz w:val="20"/>
                <w:szCs w:val="20"/>
                <w:color w:val="auto"/>
              </w:rPr>
            </w:pPr>
            <w:r>
              <w:rPr>
                <w:rFonts w:ascii="Arial" w:cs="Arial" w:eastAsia="Arial" w:hAnsi="Arial"/>
                <w:sz w:val="17"/>
                <w:szCs w:val="17"/>
                <w:b w:val="1"/>
                <w:bCs w:val="1"/>
                <w:color w:val="auto"/>
              </w:rPr>
              <w:t>TABLE OF CONTENTS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00" w:type="dxa"/>
            <w:vAlign w:val="bottom"/>
            <w:gridSpan w:val="4"/>
          </w:tcPr>
          <w:p>
            <w:pPr>
              <w:ind w:left="17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60" w:type="dxa"/>
            <w:vAlign w:val="bottom"/>
            <w:tcBorders>
              <w:top w:val="single" w:sz="8" w:color="D5EAEA"/>
              <w:bottom w:val="single" w:sz="8" w:color="0000FF"/>
            </w:tcBorders>
            <w:gridSpan w:val="10"/>
            <w:shd w:val="clear" w:color="auto" w:fill="D5EAEA"/>
          </w:tcPr>
          <w:p>
            <w:pPr>
              <w:spacing w:after="0" w:line="160" w:lineRule="exact"/>
              <w:rPr>
                <w:sz w:val="20"/>
                <w:szCs w:val="20"/>
                <w:color w:val="auto"/>
              </w:rPr>
            </w:pPr>
            <w:r>
              <w:rPr>
                <w:rFonts w:ascii="Arial" w:cs="Arial" w:eastAsia="Arial" w:hAnsi="Arial"/>
                <w:sz w:val="17"/>
                <w:szCs w:val="17"/>
                <w:color w:val="0000FF"/>
                <w:w w:val="99"/>
              </w:rPr>
              <w:t>About this Prospectus</w:t>
            </w:r>
          </w:p>
        </w:tc>
        <w:tc>
          <w:tcPr>
            <w:tcW w:w="6660" w:type="dxa"/>
            <w:vAlign w:val="bottom"/>
            <w:tcBorders>
              <w:top w:val="single" w:sz="8" w:color="D5EAEA"/>
              <w:bottom w:val="single" w:sz="8" w:color="D5EAEA"/>
            </w:tcBorders>
            <w:gridSpan w:val="9"/>
            <w:shd w:val="clear" w:color="auto" w:fill="D5EAEA"/>
          </w:tcPr>
          <w:p>
            <w:pPr>
              <w:spacing w:after="0"/>
              <w:rPr>
                <w:sz w:val="14"/>
                <w:szCs w:val="14"/>
                <w:color w:val="auto"/>
              </w:rPr>
            </w:pPr>
          </w:p>
        </w:tc>
        <w:tc>
          <w:tcPr>
            <w:tcW w:w="1780" w:type="dxa"/>
            <w:vAlign w:val="bottom"/>
            <w:tcBorders>
              <w:top w:val="single" w:sz="8" w:color="D5EAEA"/>
              <w:bottom w:val="single" w:sz="8" w:color="D5EAEA"/>
            </w:tcBorders>
            <w:shd w:val="clear" w:color="auto" w:fill="D5EAEA"/>
          </w:tcPr>
          <w:p>
            <w:pPr>
              <w:spacing w:after="0"/>
              <w:rPr>
                <w:sz w:val="14"/>
                <w:szCs w:val="14"/>
                <w:color w:val="auto"/>
              </w:rPr>
            </w:pPr>
          </w:p>
        </w:tc>
        <w:tc>
          <w:tcPr>
            <w:tcW w:w="100" w:type="dxa"/>
            <w:vAlign w:val="bottom"/>
            <w:tcBorders>
              <w:top w:val="single" w:sz="8" w:color="auto"/>
              <w:bottom w:val="single" w:sz="8" w:color="0000FF"/>
            </w:tcBorders>
            <w:shd w:val="clear" w:color="auto" w:fill="D5EAEA"/>
          </w:tcPr>
          <w:p>
            <w:pPr>
              <w:spacing w:after="0" w:line="160" w:lineRule="exact"/>
              <w:rPr>
                <w:sz w:val="20"/>
                <w:szCs w:val="20"/>
                <w:color w:val="auto"/>
              </w:rPr>
            </w:pPr>
            <w:r>
              <w:rPr>
                <w:rFonts w:ascii="Arial" w:cs="Arial" w:eastAsia="Arial" w:hAnsi="Arial"/>
                <w:sz w:val="17"/>
                <w:szCs w:val="17"/>
                <w:color w:val="0000FF"/>
                <w:w w:val="84"/>
              </w:rPr>
              <w:t>1</w:t>
            </w:r>
          </w:p>
        </w:tc>
        <w:tc>
          <w:tcPr>
            <w:tcW w:w="100" w:type="dxa"/>
            <w:vAlign w:val="bottom"/>
            <w:tcBorders>
              <w:top w:val="single" w:sz="8" w:color="auto"/>
              <w:bottom w:val="single" w:sz="8" w:color="D5EAEA"/>
            </w:tcBorders>
            <w:shd w:val="clear" w:color="auto" w:fill="D5EAEA"/>
          </w:tcPr>
          <w:p>
            <w:pPr>
              <w:spacing w:after="0"/>
              <w:rPr>
                <w:sz w:val="14"/>
                <w:szCs w:val="14"/>
                <w:color w:val="auto"/>
              </w:rPr>
            </w:pPr>
          </w:p>
        </w:tc>
        <w:tc>
          <w:tcPr>
            <w:tcW w:w="920" w:type="dxa"/>
            <w:vAlign w:val="bottom"/>
            <w:tcBorders>
              <w:top w:val="single" w:sz="8" w:color="auto"/>
              <w:bottom w:val="single" w:sz="8" w:color="D5EAEA"/>
            </w:tcBorders>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Borders>
              <w:bottom w:val="single" w:sz="8" w:color="0000FF"/>
            </w:tcBorders>
            <w:gridSpan w:val="5"/>
          </w:tcPr>
          <w:p>
            <w:pPr>
              <w:spacing w:after="0" w:line="167" w:lineRule="exact"/>
              <w:rPr>
                <w:sz w:val="20"/>
                <w:szCs w:val="20"/>
                <w:color w:val="auto"/>
              </w:rPr>
            </w:pPr>
            <w:r>
              <w:rPr>
                <w:rFonts w:ascii="Arial" w:cs="Arial" w:eastAsia="Arial" w:hAnsi="Arial"/>
                <w:sz w:val="17"/>
                <w:szCs w:val="17"/>
                <w:color w:val="0000FF"/>
                <w:w w:val="98"/>
              </w:rPr>
              <w:t>Our Company</w:t>
            </w:r>
          </w:p>
        </w:tc>
        <w:tc>
          <w:tcPr>
            <w:tcW w:w="7260" w:type="dxa"/>
            <w:vAlign w:val="bottom"/>
            <w:gridSpan w:val="14"/>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bottom w:val="single" w:sz="8" w:color="0000FF"/>
            </w:tcBorders>
          </w:tcPr>
          <w:p>
            <w:pPr>
              <w:spacing w:after="0" w:line="167" w:lineRule="exact"/>
              <w:rPr>
                <w:sz w:val="20"/>
                <w:szCs w:val="20"/>
                <w:color w:val="auto"/>
              </w:rPr>
            </w:pPr>
            <w:r>
              <w:rPr>
                <w:rFonts w:ascii="Arial" w:cs="Arial" w:eastAsia="Arial" w:hAnsi="Arial"/>
                <w:sz w:val="17"/>
                <w:szCs w:val="17"/>
                <w:color w:val="0000FF"/>
                <w:w w:val="84"/>
              </w:rPr>
              <w:t>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40" w:type="dxa"/>
            <w:vAlign w:val="bottom"/>
            <w:tcBorders>
              <w:bottom w:val="single" w:sz="8" w:color="0000FF"/>
            </w:tcBorders>
            <w:gridSpan w:val="3"/>
            <w:shd w:val="clear" w:color="auto" w:fill="D5EAEA"/>
          </w:tcPr>
          <w:p>
            <w:pPr>
              <w:spacing w:after="0" w:line="167" w:lineRule="exact"/>
              <w:rPr>
                <w:sz w:val="20"/>
                <w:szCs w:val="20"/>
                <w:color w:val="auto"/>
              </w:rPr>
            </w:pPr>
            <w:r>
              <w:rPr>
                <w:rFonts w:ascii="Arial" w:cs="Arial" w:eastAsia="Arial" w:hAnsi="Arial"/>
                <w:sz w:val="17"/>
                <w:szCs w:val="17"/>
                <w:color w:val="0000FF"/>
                <w:w w:val="97"/>
              </w:rPr>
              <w:t>Risk Factors</w:t>
            </w:r>
          </w:p>
        </w:tc>
        <w:tc>
          <w:tcPr>
            <w:tcW w:w="7380" w:type="dxa"/>
            <w:vAlign w:val="bottom"/>
            <w:tcBorders>
              <w:bottom w:val="single" w:sz="8" w:color="D5EAEA"/>
            </w:tcBorders>
            <w:gridSpan w:val="16"/>
            <w:shd w:val="clear" w:color="auto" w:fill="D5EAEA"/>
          </w:tcPr>
          <w:p>
            <w:pPr>
              <w:spacing w:after="0"/>
              <w:rPr>
                <w:sz w:val="15"/>
                <w:szCs w:val="15"/>
                <w:color w:val="auto"/>
              </w:rPr>
            </w:pPr>
          </w:p>
        </w:tc>
        <w:tc>
          <w:tcPr>
            <w:tcW w:w="1780" w:type="dxa"/>
            <w:vAlign w:val="bottom"/>
            <w:tcBorders>
              <w:bottom w:val="single" w:sz="8" w:color="D5EAEA"/>
            </w:tcBorders>
            <w:shd w:val="clear" w:color="auto" w:fill="D5EAEA"/>
          </w:tcPr>
          <w:p>
            <w:pPr>
              <w:spacing w:after="0"/>
              <w:rPr>
                <w:sz w:val="15"/>
                <w:szCs w:val="15"/>
                <w:color w:val="auto"/>
              </w:rPr>
            </w:pPr>
          </w:p>
        </w:tc>
        <w:tc>
          <w:tcPr>
            <w:tcW w:w="100" w:type="dxa"/>
            <w:vAlign w:val="bottom"/>
            <w:tcBorders>
              <w:bottom w:val="single" w:sz="8" w:color="0000FF"/>
            </w:tcBorders>
            <w:shd w:val="clear" w:color="auto" w:fill="D5EAEA"/>
          </w:tcPr>
          <w:p>
            <w:pPr>
              <w:spacing w:after="0" w:line="167" w:lineRule="exact"/>
              <w:rPr>
                <w:sz w:val="20"/>
                <w:szCs w:val="20"/>
                <w:color w:val="auto"/>
              </w:rPr>
            </w:pPr>
            <w:r>
              <w:rPr>
                <w:rFonts w:ascii="Arial" w:cs="Arial" w:eastAsia="Arial" w:hAnsi="Arial"/>
                <w:sz w:val="17"/>
                <w:szCs w:val="17"/>
                <w:color w:val="0000FF"/>
                <w:w w:val="84"/>
              </w:rPr>
              <w:t>5</w:t>
            </w:r>
          </w:p>
        </w:tc>
        <w:tc>
          <w:tcPr>
            <w:tcW w:w="100" w:type="dxa"/>
            <w:vAlign w:val="bottom"/>
            <w:tcBorders>
              <w:bottom w:val="single" w:sz="8" w:color="D5EAEA"/>
            </w:tcBorders>
            <w:shd w:val="clear" w:color="auto" w:fill="D5EAEA"/>
          </w:tcPr>
          <w:p>
            <w:pPr>
              <w:spacing w:after="0"/>
              <w:rPr>
                <w:sz w:val="15"/>
                <w:szCs w:val="15"/>
                <w:color w:val="auto"/>
              </w:rPr>
            </w:pPr>
          </w:p>
        </w:tc>
        <w:tc>
          <w:tcPr>
            <w:tcW w:w="920" w:type="dxa"/>
            <w:vAlign w:val="bottom"/>
            <w:tcBorders>
              <w:bottom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Borders>
              <w:bottom w:val="single" w:sz="8" w:color="0000FF"/>
            </w:tcBorders>
            <w:gridSpan w:val="18"/>
          </w:tcPr>
          <w:p>
            <w:pPr>
              <w:spacing w:after="0" w:line="167" w:lineRule="exact"/>
              <w:rPr>
                <w:sz w:val="20"/>
                <w:szCs w:val="20"/>
                <w:color w:val="auto"/>
              </w:rPr>
            </w:pPr>
            <w:r>
              <w:rPr>
                <w:rFonts w:ascii="Arial" w:cs="Arial" w:eastAsia="Arial" w:hAnsi="Arial"/>
                <w:sz w:val="17"/>
                <w:szCs w:val="17"/>
                <w:color w:val="0000FF"/>
              </w:rPr>
              <w:t>Cautionary Statement Regarding Forward-Looking Statements</w:t>
            </w:r>
          </w:p>
        </w:tc>
        <w:tc>
          <w:tcPr>
            <w:tcW w:w="35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bottom w:val="single" w:sz="8" w:color="0000FF"/>
            </w:tcBorders>
          </w:tcPr>
          <w:p>
            <w:pPr>
              <w:spacing w:after="0" w:line="167" w:lineRule="exact"/>
              <w:rPr>
                <w:sz w:val="20"/>
                <w:szCs w:val="20"/>
                <w:color w:val="auto"/>
              </w:rPr>
            </w:pPr>
            <w:r>
              <w:rPr>
                <w:rFonts w:ascii="Arial" w:cs="Arial" w:eastAsia="Arial" w:hAnsi="Arial"/>
                <w:sz w:val="17"/>
                <w:szCs w:val="17"/>
                <w:color w:val="0000FF"/>
                <w:w w:val="84"/>
              </w:rPr>
              <w:t>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Borders>
              <w:bottom w:val="single" w:sz="8" w:color="0000FF"/>
            </w:tcBorders>
            <w:gridSpan w:val="6"/>
            <w:shd w:val="clear" w:color="auto" w:fill="D5EAEA"/>
          </w:tcPr>
          <w:p>
            <w:pPr>
              <w:spacing w:after="0" w:line="167" w:lineRule="exact"/>
              <w:rPr>
                <w:sz w:val="20"/>
                <w:szCs w:val="20"/>
                <w:color w:val="auto"/>
              </w:rPr>
            </w:pPr>
            <w:r>
              <w:rPr>
                <w:rFonts w:ascii="Arial" w:cs="Arial" w:eastAsia="Arial" w:hAnsi="Arial"/>
                <w:sz w:val="17"/>
                <w:szCs w:val="17"/>
                <w:color w:val="0000FF"/>
                <w:w w:val="98"/>
              </w:rPr>
              <w:t>Use of Proceeds</w:t>
            </w:r>
          </w:p>
        </w:tc>
        <w:tc>
          <w:tcPr>
            <w:tcW w:w="7060" w:type="dxa"/>
            <w:vAlign w:val="bottom"/>
            <w:tcBorders>
              <w:bottom w:val="single" w:sz="8" w:color="D5EAEA"/>
            </w:tcBorders>
            <w:gridSpan w:val="13"/>
            <w:shd w:val="clear" w:color="auto" w:fill="D5EAEA"/>
          </w:tcPr>
          <w:p>
            <w:pPr>
              <w:spacing w:after="0"/>
              <w:rPr>
                <w:sz w:val="15"/>
                <w:szCs w:val="15"/>
                <w:color w:val="auto"/>
              </w:rPr>
            </w:pPr>
          </w:p>
        </w:tc>
        <w:tc>
          <w:tcPr>
            <w:tcW w:w="1780" w:type="dxa"/>
            <w:vAlign w:val="bottom"/>
            <w:tcBorders>
              <w:bottom w:val="single" w:sz="8" w:color="D5EAEA"/>
            </w:tcBorders>
            <w:shd w:val="clear" w:color="auto" w:fill="D5EAEA"/>
          </w:tcPr>
          <w:p>
            <w:pPr>
              <w:spacing w:after="0"/>
              <w:rPr>
                <w:sz w:val="15"/>
                <w:szCs w:val="15"/>
                <w:color w:val="auto"/>
              </w:rPr>
            </w:pPr>
          </w:p>
        </w:tc>
        <w:tc>
          <w:tcPr>
            <w:tcW w:w="100" w:type="dxa"/>
            <w:vAlign w:val="bottom"/>
            <w:tcBorders>
              <w:bottom w:val="single" w:sz="8" w:color="0000FF"/>
            </w:tcBorders>
            <w:shd w:val="clear" w:color="auto" w:fill="D5EAEA"/>
          </w:tcPr>
          <w:p>
            <w:pPr>
              <w:spacing w:after="0" w:line="167" w:lineRule="exact"/>
              <w:rPr>
                <w:sz w:val="20"/>
                <w:szCs w:val="20"/>
                <w:color w:val="auto"/>
              </w:rPr>
            </w:pPr>
            <w:r>
              <w:rPr>
                <w:rFonts w:ascii="Arial" w:cs="Arial" w:eastAsia="Arial" w:hAnsi="Arial"/>
                <w:sz w:val="17"/>
                <w:szCs w:val="17"/>
                <w:color w:val="0000FF"/>
                <w:w w:val="84"/>
              </w:rPr>
              <w:t>7</w:t>
            </w:r>
          </w:p>
        </w:tc>
        <w:tc>
          <w:tcPr>
            <w:tcW w:w="100" w:type="dxa"/>
            <w:vAlign w:val="bottom"/>
            <w:tcBorders>
              <w:bottom w:val="single" w:sz="8" w:color="D5EAEA"/>
            </w:tcBorders>
            <w:shd w:val="clear" w:color="auto" w:fill="D5EAEA"/>
          </w:tcPr>
          <w:p>
            <w:pPr>
              <w:spacing w:after="0"/>
              <w:rPr>
                <w:sz w:val="15"/>
                <w:szCs w:val="15"/>
                <w:color w:val="auto"/>
              </w:rPr>
            </w:pPr>
          </w:p>
        </w:tc>
        <w:tc>
          <w:tcPr>
            <w:tcW w:w="920" w:type="dxa"/>
            <w:vAlign w:val="bottom"/>
            <w:tcBorders>
              <w:bottom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20" w:type="dxa"/>
            <w:vAlign w:val="bottom"/>
            <w:gridSpan w:val="19"/>
          </w:tcPr>
          <w:p>
            <w:pPr>
              <w:spacing w:after="0" w:line="167" w:lineRule="exact"/>
              <w:rPr>
                <w:sz w:val="20"/>
                <w:szCs w:val="20"/>
                <w:color w:val="auto"/>
              </w:rPr>
            </w:pPr>
            <w:r>
              <w:rPr>
                <w:rFonts w:ascii="Arial" w:cs="Arial" w:eastAsia="Arial" w:hAnsi="Arial"/>
                <w:sz w:val="17"/>
                <w:szCs w:val="17"/>
                <w:color w:val="0000FF"/>
              </w:rPr>
              <w:t>Description of Share Capital and Constitution</w:t>
            </w:r>
          </w:p>
        </w:tc>
        <w:tc>
          <w:tcPr>
            <w:tcW w:w="1880" w:type="dxa"/>
            <w:vAlign w:val="bottom"/>
            <w:gridSpan w:val="2"/>
          </w:tcPr>
          <w:p>
            <w:pPr>
              <w:ind w:left="1780"/>
              <w:spacing w:after="0" w:line="167" w:lineRule="exact"/>
              <w:rPr>
                <w:sz w:val="20"/>
                <w:szCs w:val="20"/>
                <w:color w:val="auto"/>
              </w:rPr>
            </w:pPr>
            <w:r>
              <w:rPr>
                <w:rFonts w:ascii="Arial" w:cs="Arial" w:eastAsia="Arial" w:hAnsi="Arial"/>
                <w:sz w:val="17"/>
                <w:szCs w:val="17"/>
                <w:color w:val="0000FF"/>
                <w:w w:val="84"/>
              </w:rPr>
              <w:t>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400" w:type="dxa"/>
            <w:vAlign w:val="bottom"/>
            <w:gridSpan w:val="16"/>
            <w:shd w:val="clear" w:color="auto" w:fill="D5EAEA"/>
          </w:tcPr>
          <w:p>
            <w:pPr>
              <w:spacing w:after="0" w:line="167" w:lineRule="exact"/>
              <w:rPr>
                <w:sz w:val="20"/>
                <w:szCs w:val="20"/>
                <w:color w:val="auto"/>
              </w:rPr>
            </w:pPr>
            <w:r>
              <w:rPr>
                <w:rFonts w:ascii="Arial" w:cs="Arial" w:eastAsia="Arial" w:hAnsi="Arial"/>
                <w:sz w:val="17"/>
                <w:szCs w:val="17"/>
                <w:color w:val="0000FF"/>
              </w:rPr>
              <w:t>Comparison of Irish Law and Delaware Law</w:t>
            </w:r>
          </w:p>
        </w:tc>
        <w:tc>
          <w:tcPr>
            <w:tcW w:w="4920" w:type="dxa"/>
            <w:vAlign w:val="bottom"/>
            <w:gridSpan w:val="3"/>
            <w:shd w:val="clear" w:color="auto" w:fill="D5EAEA"/>
          </w:tcPr>
          <w:p>
            <w:pPr>
              <w:spacing w:after="0"/>
              <w:rPr>
                <w:sz w:val="15"/>
                <w:szCs w:val="15"/>
                <w:color w:val="auto"/>
              </w:rPr>
            </w:pPr>
          </w:p>
        </w:tc>
        <w:tc>
          <w:tcPr>
            <w:tcW w:w="1780" w:type="dxa"/>
            <w:vAlign w:val="bottom"/>
            <w:shd w:val="clear" w:color="auto" w:fill="D5EAEA"/>
          </w:tcPr>
          <w:p>
            <w:pPr>
              <w:spacing w:after="0"/>
              <w:rPr>
                <w:sz w:val="15"/>
                <w:szCs w:val="15"/>
                <w:color w:val="auto"/>
              </w:rPr>
            </w:pPr>
          </w:p>
        </w:tc>
        <w:tc>
          <w:tcPr>
            <w:tcW w:w="1120" w:type="dxa"/>
            <w:vAlign w:val="bottom"/>
            <w:gridSpan w:val="3"/>
            <w:shd w:val="clear" w:color="auto" w:fill="D5EAEA"/>
          </w:tcPr>
          <w:p>
            <w:pPr>
              <w:spacing w:after="0" w:line="167" w:lineRule="exact"/>
              <w:rPr>
                <w:sz w:val="20"/>
                <w:szCs w:val="20"/>
                <w:color w:val="auto"/>
              </w:rPr>
            </w:pPr>
            <w:r>
              <w:rPr>
                <w:rFonts w:ascii="Arial" w:cs="Arial" w:eastAsia="Arial" w:hAnsi="Arial"/>
                <w:sz w:val="17"/>
                <w:szCs w:val="17"/>
                <w:color w:val="0000FF"/>
              </w:rPr>
              <w:t>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Borders>
              <w:top w:val="single" w:sz="8" w:color="0000FF"/>
            </w:tcBorders>
            <w:gridSpan w:val="15"/>
          </w:tcPr>
          <w:p>
            <w:pPr>
              <w:spacing w:after="0" w:line="167" w:lineRule="exact"/>
              <w:rPr>
                <w:sz w:val="20"/>
                <w:szCs w:val="20"/>
                <w:color w:val="auto"/>
              </w:rPr>
            </w:pPr>
            <w:r>
              <w:rPr>
                <w:rFonts w:ascii="Arial" w:cs="Arial" w:eastAsia="Arial" w:hAnsi="Arial"/>
                <w:sz w:val="17"/>
                <w:szCs w:val="17"/>
                <w:color w:val="0000FF"/>
              </w:rPr>
              <w:t>Description of Debt Securities</w:t>
            </w:r>
          </w:p>
        </w:tc>
        <w:tc>
          <w:tcPr>
            <w:tcW w:w="5020" w:type="dxa"/>
            <w:vAlign w:val="bottom"/>
            <w:tcBorders>
              <w:top w:val="single" w:sz="8" w:color="D5EAEA"/>
            </w:tcBorders>
            <w:gridSpan w:val="4"/>
          </w:tcPr>
          <w:p>
            <w:pPr>
              <w:spacing w:after="0"/>
              <w:rPr>
                <w:sz w:val="15"/>
                <w:szCs w:val="15"/>
                <w:color w:val="auto"/>
              </w:rPr>
            </w:pPr>
          </w:p>
        </w:tc>
        <w:tc>
          <w:tcPr>
            <w:tcW w:w="1780" w:type="dxa"/>
            <w:vAlign w:val="bottom"/>
            <w:tcBorders>
              <w:top w:val="single" w:sz="8" w:color="D5EAEA"/>
            </w:tcBorders>
          </w:tcPr>
          <w:p>
            <w:pPr>
              <w:spacing w:after="0"/>
              <w:rPr>
                <w:sz w:val="15"/>
                <w:szCs w:val="15"/>
                <w:color w:val="auto"/>
              </w:rPr>
            </w:pPr>
          </w:p>
        </w:tc>
        <w:tc>
          <w:tcPr>
            <w:tcW w:w="200" w:type="dxa"/>
            <w:vAlign w:val="bottom"/>
            <w:tcBorders>
              <w:top w:val="single" w:sz="8" w:color="0000FF"/>
            </w:tcBorders>
            <w:gridSpan w:val="2"/>
          </w:tcPr>
          <w:p>
            <w:pPr>
              <w:spacing w:after="0" w:line="167" w:lineRule="exact"/>
              <w:rPr>
                <w:sz w:val="20"/>
                <w:szCs w:val="20"/>
                <w:color w:val="auto"/>
              </w:rPr>
            </w:pPr>
            <w:r>
              <w:rPr>
                <w:rFonts w:ascii="Arial" w:cs="Arial" w:eastAsia="Arial" w:hAnsi="Arial"/>
                <w:sz w:val="17"/>
                <w:szCs w:val="17"/>
                <w:color w:val="0000FF"/>
                <w:w w:val="94"/>
              </w:rPr>
              <w:t>34</w:t>
            </w:r>
          </w:p>
        </w:tc>
        <w:tc>
          <w:tcPr>
            <w:tcW w:w="920" w:type="dxa"/>
            <w:vAlign w:val="bottom"/>
            <w:tcBorders>
              <w:top w:val="single" w:sz="8" w:color="D5EAEA"/>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40" w:type="dxa"/>
            <w:vAlign w:val="bottom"/>
            <w:tcBorders>
              <w:top w:val="single" w:sz="8" w:color="0000FF"/>
            </w:tcBorders>
            <w:gridSpan w:val="12"/>
            <w:shd w:val="clear" w:color="auto" w:fill="D5EAEA"/>
          </w:tcPr>
          <w:p>
            <w:pPr>
              <w:spacing w:after="0" w:line="167" w:lineRule="exact"/>
              <w:rPr>
                <w:sz w:val="20"/>
                <w:szCs w:val="20"/>
                <w:color w:val="auto"/>
              </w:rPr>
            </w:pPr>
            <w:r>
              <w:rPr>
                <w:rFonts w:ascii="Arial" w:cs="Arial" w:eastAsia="Arial" w:hAnsi="Arial"/>
                <w:sz w:val="17"/>
                <w:szCs w:val="17"/>
                <w:color w:val="0000FF"/>
              </w:rPr>
              <w:t>Description of Warrants</w:t>
            </w:r>
          </w:p>
        </w:tc>
        <w:tc>
          <w:tcPr>
            <w:tcW w:w="6080" w:type="dxa"/>
            <w:vAlign w:val="bottom"/>
            <w:gridSpan w:val="7"/>
            <w:shd w:val="clear" w:color="auto" w:fill="D5EAEA"/>
          </w:tcPr>
          <w:p>
            <w:pPr>
              <w:spacing w:after="0"/>
              <w:rPr>
                <w:sz w:val="15"/>
                <w:szCs w:val="15"/>
                <w:color w:val="auto"/>
              </w:rPr>
            </w:pPr>
          </w:p>
        </w:tc>
        <w:tc>
          <w:tcPr>
            <w:tcW w:w="1780" w:type="dxa"/>
            <w:vAlign w:val="bottom"/>
            <w:shd w:val="clear" w:color="auto" w:fill="D5EAEA"/>
          </w:tcPr>
          <w:p>
            <w:pPr>
              <w:spacing w:after="0"/>
              <w:rPr>
                <w:sz w:val="15"/>
                <w:szCs w:val="15"/>
                <w:color w:val="auto"/>
              </w:rPr>
            </w:pPr>
          </w:p>
        </w:tc>
        <w:tc>
          <w:tcPr>
            <w:tcW w:w="200" w:type="dxa"/>
            <w:vAlign w:val="bottom"/>
            <w:tcBorders>
              <w:top w:val="single" w:sz="8" w:color="0000FF"/>
            </w:tcBorders>
            <w:gridSpan w:val="2"/>
            <w:shd w:val="clear" w:color="auto" w:fill="D5EAEA"/>
          </w:tcPr>
          <w:p>
            <w:pPr>
              <w:spacing w:after="0" w:line="167" w:lineRule="exact"/>
              <w:rPr>
                <w:sz w:val="20"/>
                <w:szCs w:val="20"/>
                <w:color w:val="auto"/>
              </w:rPr>
            </w:pPr>
            <w:r>
              <w:rPr>
                <w:rFonts w:ascii="Arial" w:cs="Arial" w:eastAsia="Arial" w:hAnsi="Arial"/>
                <w:sz w:val="17"/>
                <w:szCs w:val="17"/>
                <w:color w:val="0000FF"/>
                <w:w w:val="94"/>
              </w:rPr>
              <w:t>34</w:t>
            </w:r>
          </w:p>
        </w:tc>
        <w:tc>
          <w:tcPr>
            <w:tcW w:w="92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9"/>
          </w:tcPr>
          <w:p>
            <w:pPr>
              <w:spacing w:after="0" w:line="167" w:lineRule="exact"/>
              <w:rPr>
                <w:sz w:val="20"/>
                <w:szCs w:val="20"/>
                <w:color w:val="auto"/>
              </w:rPr>
            </w:pPr>
            <w:r>
              <w:rPr>
                <w:rFonts w:ascii="Arial" w:cs="Arial" w:eastAsia="Arial" w:hAnsi="Arial"/>
                <w:sz w:val="17"/>
                <w:szCs w:val="17"/>
                <w:color w:val="0000FF"/>
                <w:w w:val="99"/>
              </w:rPr>
              <w:t>Description of Units</w:t>
            </w:r>
          </w:p>
        </w:tc>
        <w:tc>
          <w:tcPr>
            <w:tcW w:w="280" w:type="dxa"/>
            <w:vAlign w:val="bottom"/>
            <w:tcBorders>
              <w:top w:val="single" w:sz="8" w:color="0000FF"/>
            </w:tcBorders>
            <w:gridSpan w:val="2"/>
          </w:tcPr>
          <w:p>
            <w:pPr>
              <w:spacing w:after="0"/>
              <w:rPr>
                <w:sz w:val="15"/>
                <w:szCs w:val="15"/>
                <w:color w:val="auto"/>
              </w:rPr>
            </w:pPr>
          </w:p>
        </w:tc>
        <w:tc>
          <w:tcPr>
            <w:tcW w:w="6560" w:type="dxa"/>
            <w:vAlign w:val="bottom"/>
            <w:tcBorders>
              <w:top w:val="single" w:sz="8" w:color="D5EAEA"/>
            </w:tcBorders>
            <w:gridSpan w:val="8"/>
          </w:tcPr>
          <w:p>
            <w:pPr>
              <w:spacing w:after="0"/>
              <w:rPr>
                <w:sz w:val="15"/>
                <w:szCs w:val="15"/>
                <w:color w:val="auto"/>
              </w:rPr>
            </w:pPr>
          </w:p>
        </w:tc>
        <w:tc>
          <w:tcPr>
            <w:tcW w:w="1780" w:type="dxa"/>
            <w:vAlign w:val="bottom"/>
            <w:tcBorders>
              <w:top w:val="single" w:sz="8" w:color="D5EAEA"/>
            </w:tcBorders>
          </w:tcPr>
          <w:p>
            <w:pPr>
              <w:spacing w:after="0"/>
              <w:rPr>
                <w:sz w:val="15"/>
                <w:szCs w:val="15"/>
                <w:color w:val="auto"/>
              </w:rPr>
            </w:pPr>
          </w:p>
        </w:tc>
        <w:tc>
          <w:tcPr>
            <w:tcW w:w="200" w:type="dxa"/>
            <w:vAlign w:val="bottom"/>
            <w:tcBorders>
              <w:top w:val="single" w:sz="8" w:color="0000FF"/>
              <w:bottom w:val="single" w:sz="8" w:color="0000FF"/>
            </w:tcBorders>
            <w:gridSpan w:val="2"/>
          </w:tcPr>
          <w:p>
            <w:pPr>
              <w:spacing w:after="0" w:line="167" w:lineRule="exact"/>
              <w:rPr>
                <w:sz w:val="20"/>
                <w:szCs w:val="20"/>
                <w:color w:val="auto"/>
              </w:rPr>
            </w:pPr>
            <w:r>
              <w:rPr>
                <w:rFonts w:ascii="Arial" w:cs="Arial" w:eastAsia="Arial" w:hAnsi="Arial"/>
                <w:sz w:val="17"/>
                <w:szCs w:val="17"/>
                <w:color w:val="0000FF"/>
                <w:w w:val="94"/>
              </w:rPr>
              <w:t>34</w:t>
            </w:r>
          </w:p>
        </w:tc>
        <w:tc>
          <w:tcPr>
            <w:tcW w:w="920" w:type="dxa"/>
            <w:vAlign w:val="bottom"/>
            <w:tcBorders>
              <w:top w:val="single" w:sz="8" w:color="D5EAEA"/>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tcBorders>
              <w:bottom w:val="single" w:sz="8" w:color="0000FF"/>
            </w:tcBorders>
            <w:gridSpan w:val="13"/>
            <w:shd w:val="clear" w:color="auto" w:fill="D5EAEA"/>
          </w:tcPr>
          <w:p>
            <w:pPr>
              <w:spacing w:after="0" w:line="167" w:lineRule="exact"/>
              <w:rPr>
                <w:sz w:val="20"/>
                <w:szCs w:val="20"/>
                <w:color w:val="auto"/>
              </w:rPr>
            </w:pPr>
            <w:r>
              <w:rPr>
                <w:rFonts w:ascii="Arial" w:cs="Arial" w:eastAsia="Arial" w:hAnsi="Arial"/>
                <w:sz w:val="17"/>
                <w:szCs w:val="17"/>
                <w:color w:val="0000FF"/>
                <w:w w:val="99"/>
              </w:rPr>
              <w:t>Description of Subscription Rights</w:t>
            </w:r>
          </w:p>
        </w:tc>
        <w:tc>
          <w:tcPr>
            <w:tcW w:w="5760" w:type="dxa"/>
            <w:vAlign w:val="bottom"/>
            <w:tcBorders>
              <w:bottom w:val="single" w:sz="8" w:color="D5EAEA"/>
            </w:tcBorders>
            <w:gridSpan w:val="6"/>
            <w:shd w:val="clear" w:color="auto" w:fill="D5EAEA"/>
          </w:tcPr>
          <w:p>
            <w:pPr>
              <w:spacing w:after="0"/>
              <w:rPr>
                <w:sz w:val="15"/>
                <w:szCs w:val="15"/>
                <w:color w:val="auto"/>
              </w:rPr>
            </w:pPr>
          </w:p>
        </w:tc>
        <w:tc>
          <w:tcPr>
            <w:tcW w:w="1780" w:type="dxa"/>
            <w:vAlign w:val="bottom"/>
            <w:tcBorders>
              <w:bottom w:val="single" w:sz="8" w:color="D5EAEA"/>
            </w:tcBorders>
            <w:shd w:val="clear" w:color="auto" w:fill="D5EAEA"/>
          </w:tcPr>
          <w:p>
            <w:pPr>
              <w:spacing w:after="0"/>
              <w:rPr>
                <w:sz w:val="15"/>
                <w:szCs w:val="15"/>
                <w:color w:val="auto"/>
              </w:rPr>
            </w:pPr>
          </w:p>
        </w:tc>
        <w:tc>
          <w:tcPr>
            <w:tcW w:w="200" w:type="dxa"/>
            <w:vAlign w:val="bottom"/>
            <w:tcBorders>
              <w:bottom w:val="single" w:sz="8" w:color="0000FF"/>
            </w:tcBorders>
            <w:gridSpan w:val="2"/>
            <w:shd w:val="clear" w:color="auto" w:fill="D5EAEA"/>
          </w:tcPr>
          <w:p>
            <w:pPr>
              <w:spacing w:after="0" w:line="167" w:lineRule="exact"/>
              <w:rPr>
                <w:sz w:val="20"/>
                <w:szCs w:val="20"/>
                <w:color w:val="auto"/>
              </w:rPr>
            </w:pPr>
            <w:r>
              <w:rPr>
                <w:rFonts w:ascii="Arial" w:cs="Arial" w:eastAsia="Arial" w:hAnsi="Arial"/>
                <w:sz w:val="17"/>
                <w:szCs w:val="17"/>
                <w:color w:val="0000FF"/>
                <w:w w:val="94"/>
              </w:rPr>
              <w:t>34</w:t>
            </w:r>
          </w:p>
        </w:tc>
        <w:tc>
          <w:tcPr>
            <w:tcW w:w="920" w:type="dxa"/>
            <w:vAlign w:val="bottom"/>
            <w:tcBorders>
              <w:bottom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20" w:type="dxa"/>
            <w:vAlign w:val="bottom"/>
            <w:gridSpan w:val="19"/>
          </w:tcPr>
          <w:p>
            <w:pPr>
              <w:spacing w:after="0" w:line="167" w:lineRule="exact"/>
              <w:rPr>
                <w:sz w:val="20"/>
                <w:szCs w:val="20"/>
                <w:color w:val="auto"/>
              </w:rPr>
            </w:pPr>
            <w:r>
              <w:rPr>
                <w:rFonts w:ascii="Arial" w:cs="Arial" w:eastAsia="Arial" w:hAnsi="Arial"/>
                <w:sz w:val="17"/>
                <w:szCs w:val="17"/>
                <w:color w:val="0000FF"/>
              </w:rPr>
              <w:t>Forms of Securities</w:t>
            </w:r>
          </w:p>
        </w:tc>
        <w:tc>
          <w:tcPr>
            <w:tcW w:w="2900" w:type="dxa"/>
            <w:vAlign w:val="bottom"/>
            <w:gridSpan w:val="4"/>
          </w:tcPr>
          <w:p>
            <w:pPr>
              <w:ind w:left="1780"/>
              <w:spacing w:after="0" w:line="167" w:lineRule="exact"/>
              <w:rPr>
                <w:sz w:val="20"/>
                <w:szCs w:val="20"/>
                <w:color w:val="auto"/>
              </w:rPr>
            </w:pPr>
            <w:r>
              <w:rPr>
                <w:rFonts w:ascii="Arial" w:cs="Arial" w:eastAsia="Arial" w:hAnsi="Arial"/>
                <w:sz w:val="17"/>
                <w:szCs w:val="17"/>
                <w:color w:val="0000FF"/>
              </w:rPr>
              <w:t>35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Borders>
              <w:top w:val="single" w:sz="8" w:color="0000FF"/>
            </w:tcBorders>
            <w:gridSpan w:val="8"/>
            <w:shd w:val="clear" w:color="auto" w:fill="D5EAEA"/>
          </w:tcPr>
          <w:p>
            <w:pPr>
              <w:spacing w:after="0" w:line="167" w:lineRule="exact"/>
              <w:rPr>
                <w:sz w:val="20"/>
                <w:szCs w:val="20"/>
                <w:color w:val="auto"/>
              </w:rPr>
            </w:pPr>
            <w:r>
              <w:rPr>
                <w:rFonts w:ascii="Arial" w:cs="Arial" w:eastAsia="Arial" w:hAnsi="Arial"/>
                <w:sz w:val="17"/>
                <w:szCs w:val="17"/>
                <w:color w:val="0000FF"/>
              </w:rPr>
              <w:t>Plan of Distribution</w:t>
            </w:r>
          </w:p>
        </w:tc>
        <w:tc>
          <w:tcPr>
            <w:tcW w:w="6860" w:type="dxa"/>
            <w:vAlign w:val="bottom"/>
            <w:gridSpan w:val="11"/>
            <w:shd w:val="clear" w:color="auto" w:fill="D5EAEA"/>
          </w:tcPr>
          <w:p>
            <w:pPr>
              <w:spacing w:after="0"/>
              <w:rPr>
                <w:sz w:val="15"/>
                <w:szCs w:val="15"/>
                <w:color w:val="auto"/>
              </w:rPr>
            </w:pPr>
          </w:p>
        </w:tc>
        <w:tc>
          <w:tcPr>
            <w:tcW w:w="1780" w:type="dxa"/>
            <w:vAlign w:val="bottom"/>
            <w:shd w:val="clear" w:color="auto" w:fill="D5EAEA"/>
          </w:tcPr>
          <w:p>
            <w:pPr>
              <w:spacing w:after="0"/>
              <w:rPr>
                <w:sz w:val="15"/>
                <w:szCs w:val="15"/>
                <w:color w:val="auto"/>
              </w:rPr>
            </w:pPr>
          </w:p>
        </w:tc>
        <w:tc>
          <w:tcPr>
            <w:tcW w:w="200" w:type="dxa"/>
            <w:vAlign w:val="bottom"/>
            <w:tcBorders>
              <w:top w:val="single" w:sz="8" w:color="0000FF"/>
            </w:tcBorders>
            <w:gridSpan w:val="2"/>
            <w:shd w:val="clear" w:color="auto" w:fill="D5EAEA"/>
          </w:tcPr>
          <w:p>
            <w:pPr>
              <w:spacing w:after="0" w:line="167" w:lineRule="exact"/>
              <w:rPr>
                <w:sz w:val="20"/>
                <w:szCs w:val="20"/>
                <w:color w:val="auto"/>
              </w:rPr>
            </w:pPr>
            <w:r>
              <w:rPr>
                <w:rFonts w:ascii="Arial" w:cs="Arial" w:eastAsia="Arial" w:hAnsi="Arial"/>
                <w:sz w:val="17"/>
                <w:szCs w:val="17"/>
                <w:color w:val="0000FF"/>
                <w:w w:val="94"/>
              </w:rPr>
              <w:t>37</w:t>
            </w:r>
          </w:p>
        </w:tc>
        <w:tc>
          <w:tcPr>
            <w:tcW w:w="92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Borders>
              <w:top w:val="single" w:sz="8" w:color="0000FF"/>
              <w:bottom w:val="single" w:sz="8" w:color="0000FF"/>
            </w:tcBorders>
            <w:gridSpan w:val="2"/>
          </w:tcPr>
          <w:p>
            <w:pPr>
              <w:spacing w:after="0" w:line="167" w:lineRule="exact"/>
              <w:rPr>
                <w:sz w:val="20"/>
                <w:szCs w:val="20"/>
                <w:color w:val="auto"/>
              </w:rPr>
            </w:pPr>
            <w:r>
              <w:rPr>
                <w:rFonts w:ascii="Arial" w:cs="Arial" w:eastAsia="Arial" w:hAnsi="Arial"/>
                <w:sz w:val="17"/>
                <w:szCs w:val="17"/>
                <w:color w:val="0000FF"/>
                <w:w w:val="96"/>
              </w:rPr>
              <w:t>Expenses</w:t>
            </w:r>
          </w:p>
        </w:tc>
        <w:tc>
          <w:tcPr>
            <w:tcW w:w="680" w:type="dxa"/>
            <w:vAlign w:val="bottom"/>
            <w:tcBorders>
              <w:top w:val="single" w:sz="8" w:color="0000FF"/>
            </w:tcBorders>
            <w:gridSpan w:val="5"/>
          </w:tcPr>
          <w:p>
            <w:pPr>
              <w:spacing w:after="0"/>
              <w:rPr>
                <w:sz w:val="15"/>
                <w:szCs w:val="15"/>
                <w:color w:val="auto"/>
              </w:rPr>
            </w:pPr>
          </w:p>
        </w:tc>
        <w:tc>
          <w:tcPr>
            <w:tcW w:w="6900" w:type="dxa"/>
            <w:vAlign w:val="bottom"/>
            <w:tcBorders>
              <w:top w:val="single" w:sz="8" w:color="D5EAEA"/>
            </w:tcBorders>
            <w:gridSpan w:val="12"/>
          </w:tcPr>
          <w:p>
            <w:pPr>
              <w:spacing w:after="0"/>
              <w:rPr>
                <w:sz w:val="15"/>
                <w:szCs w:val="15"/>
                <w:color w:val="auto"/>
              </w:rPr>
            </w:pPr>
          </w:p>
        </w:tc>
        <w:tc>
          <w:tcPr>
            <w:tcW w:w="1780" w:type="dxa"/>
            <w:vAlign w:val="bottom"/>
            <w:tcBorders>
              <w:top w:val="single" w:sz="8" w:color="D5EAEA"/>
            </w:tcBorders>
          </w:tcPr>
          <w:p>
            <w:pPr>
              <w:spacing w:after="0"/>
              <w:rPr>
                <w:sz w:val="15"/>
                <w:szCs w:val="15"/>
                <w:color w:val="auto"/>
              </w:rPr>
            </w:pPr>
          </w:p>
        </w:tc>
        <w:tc>
          <w:tcPr>
            <w:tcW w:w="200" w:type="dxa"/>
            <w:vAlign w:val="bottom"/>
            <w:tcBorders>
              <w:top w:val="single" w:sz="8" w:color="0000FF"/>
              <w:bottom w:val="single" w:sz="8" w:color="0000FF"/>
            </w:tcBorders>
            <w:gridSpan w:val="2"/>
          </w:tcPr>
          <w:p>
            <w:pPr>
              <w:spacing w:after="0" w:line="167" w:lineRule="exact"/>
              <w:rPr>
                <w:sz w:val="20"/>
                <w:szCs w:val="20"/>
                <w:color w:val="auto"/>
              </w:rPr>
            </w:pPr>
            <w:r>
              <w:rPr>
                <w:rFonts w:ascii="Arial" w:cs="Arial" w:eastAsia="Arial" w:hAnsi="Arial"/>
                <w:sz w:val="17"/>
                <w:szCs w:val="17"/>
                <w:color w:val="0000FF"/>
                <w:w w:val="94"/>
              </w:rPr>
              <w:t>39</w:t>
            </w:r>
          </w:p>
        </w:tc>
        <w:tc>
          <w:tcPr>
            <w:tcW w:w="920" w:type="dxa"/>
            <w:vAlign w:val="bottom"/>
            <w:tcBorders>
              <w:top w:val="single" w:sz="8" w:color="D5EAEA"/>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20" w:type="dxa"/>
            <w:vAlign w:val="bottom"/>
            <w:gridSpan w:val="19"/>
            <w:shd w:val="clear" w:color="auto" w:fill="D5EAEA"/>
          </w:tcPr>
          <w:p>
            <w:pPr>
              <w:spacing w:after="0" w:line="167" w:lineRule="exact"/>
              <w:rPr>
                <w:sz w:val="20"/>
                <w:szCs w:val="20"/>
                <w:color w:val="auto"/>
              </w:rPr>
            </w:pPr>
            <w:r>
              <w:rPr>
                <w:rFonts w:ascii="Arial" w:cs="Arial" w:eastAsia="Arial" w:hAnsi="Arial"/>
                <w:sz w:val="17"/>
                <w:szCs w:val="17"/>
                <w:color w:val="0000FF"/>
              </w:rPr>
              <w:t>Legal Matters</w:t>
            </w:r>
          </w:p>
        </w:tc>
        <w:tc>
          <w:tcPr>
            <w:tcW w:w="2900" w:type="dxa"/>
            <w:vAlign w:val="bottom"/>
            <w:gridSpan w:val="4"/>
            <w:shd w:val="clear" w:color="auto" w:fill="D5EAEA"/>
          </w:tcPr>
          <w:p>
            <w:pPr>
              <w:ind w:left="1780"/>
              <w:spacing w:after="0" w:line="167" w:lineRule="exact"/>
              <w:rPr>
                <w:sz w:val="20"/>
                <w:szCs w:val="20"/>
                <w:color w:val="auto"/>
              </w:rPr>
            </w:pPr>
            <w:r>
              <w:rPr>
                <w:rFonts w:ascii="Arial" w:cs="Arial" w:eastAsia="Arial" w:hAnsi="Arial"/>
                <w:sz w:val="17"/>
                <w:szCs w:val="17"/>
                <w:color w:val="0000FF"/>
              </w:rPr>
              <w:t>39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tcBorders>
              <w:top w:val="single" w:sz="8" w:color="0000FF"/>
            </w:tcBorders>
            <w:gridSpan w:val="4"/>
          </w:tcPr>
          <w:p>
            <w:pPr>
              <w:spacing w:after="0" w:line="167" w:lineRule="exact"/>
              <w:rPr>
                <w:sz w:val="20"/>
                <w:szCs w:val="20"/>
                <w:color w:val="auto"/>
              </w:rPr>
            </w:pPr>
            <w:r>
              <w:rPr>
                <w:rFonts w:ascii="Arial" w:cs="Arial" w:eastAsia="Arial" w:hAnsi="Arial"/>
                <w:sz w:val="17"/>
                <w:szCs w:val="17"/>
                <w:color w:val="0000FF"/>
              </w:rPr>
              <w:t>Experts</w:t>
            </w:r>
          </w:p>
        </w:tc>
        <w:tc>
          <w:tcPr>
            <w:tcW w:w="7300" w:type="dxa"/>
            <w:vAlign w:val="bottom"/>
            <w:tcBorders>
              <w:top w:val="single" w:sz="8" w:color="D5EAEA"/>
            </w:tcBorders>
            <w:gridSpan w:val="15"/>
          </w:tcPr>
          <w:p>
            <w:pPr>
              <w:spacing w:after="0"/>
              <w:rPr>
                <w:sz w:val="14"/>
                <w:szCs w:val="14"/>
                <w:color w:val="auto"/>
              </w:rPr>
            </w:pPr>
          </w:p>
        </w:tc>
        <w:tc>
          <w:tcPr>
            <w:tcW w:w="1780" w:type="dxa"/>
            <w:vAlign w:val="bottom"/>
            <w:tcBorders>
              <w:top w:val="single" w:sz="8" w:color="D5EAEA"/>
            </w:tcBorders>
          </w:tcPr>
          <w:p>
            <w:pPr>
              <w:spacing w:after="0"/>
              <w:rPr>
                <w:sz w:val="14"/>
                <w:szCs w:val="14"/>
                <w:color w:val="auto"/>
              </w:rPr>
            </w:pPr>
          </w:p>
        </w:tc>
        <w:tc>
          <w:tcPr>
            <w:tcW w:w="200" w:type="dxa"/>
            <w:vAlign w:val="bottom"/>
            <w:tcBorders>
              <w:top w:val="single" w:sz="8" w:color="0000FF"/>
            </w:tcBorders>
            <w:gridSpan w:val="2"/>
          </w:tcPr>
          <w:p>
            <w:pPr>
              <w:spacing w:after="0" w:line="167" w:lineRule="exact"/>
              <w:rPr>
                <w:sz w:val="20"/>
                <w:szCs w:val="20"/>
                <w:color w:val="auto"/>
              </w:rPr>
            </w:pPr>
            <w:r>
              <w:rPr>
                <w:rFonts w:ascii="Arial" w:cs="Arial" w:eastAsia="Arial" w:hAnsi="Arial"/>
                <w:sz w:val="17"/>
                <w:szCs w:val="17"/>
                <w:color w:val="0000FF"/>
                <w:w w:val="94"/>
              </w:rPr>
              <w:t>39</w:t>
            </w:r>
          </w:p>
        </w:tc>
        <w:tc>
          <w:tcPr>
            <w:tcW w:w="920" w:type="dxa"/>
            <w:vAlign w:val="bottom"/>
            <w:tcBorders>
              <w:top w:val="single" w:sz="8" w:color="D5EAEA"/>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720" w:type="dxa"/>
            <w:vAlign w:val="bottom"/>
            <w:tcBorders>
              <w:bottom w:val="single" w:sz="8" w:color="0000FF"/>
            </w:tcBorders>
            <w:gridSpan w:val="17"/>
            <w:shd w:val="clear" w:color="auto" w:fill="D5EAEA"/>
          </w:tcPr>
          <w:p>
            <w:pPr>
              <w:spacing w:after="0" w:line="167" w:lineRule="exact"/>
              <w:rPr>
                <w:sz w:val="20"/>
                <w:szCs w:val="20"/>
                <w:color w:val="auto"/>
              </w:rPr>
            </w:pPr>
            <w:r>
              <w:rPr>
                <w:rFonts w:ascii="Arial" w:cs="Arial" w:eastAsia="Arial" w:hAnsi="Arial"/>
                <w:sz w:val="17"/>
                <w:szCs w:val="17"/>
                <w:color w:val="0000FF"/>
              </w:rPr>
              <w:t>Service of Process and Enforcement of Liabilities</w:t>
            </w:r>
          </w:p>
        </w:tc>
        <w:tc>
          <w:tcPr>
            <w:tcW w:w="4600" w:type="dxa"/>
            <w:vAlign w:val="bottom"/>
            <w:tcBorders>
              <w:bottom w:val="single" w:sz="8" w:color="D5EAEA"/>
            </w:tcBorders>
            <w:gridSpan w:val="2"/>
            <w:shd w:val="clear" w:color="auto" w:fill="D5EAEA"/>
          </w:tcPr>
          <w:p>
            <w:pPr>
              <w:spacing w:after="0"/>
              <w:rPr>
                <w:sz w:val="15"/>
                <w:szCs w:val="15"/>
                <w:color w:val="auto"/>
              </w:rPr>
            </w:pPr>
          </w:p>
        </w:tc>
        <w:tc>
          <w:tcPr>
            <w:tcW w:w="1780" w:type="dxa"/>
            <w:vAlign w:val="bottom"/>
            <w:tcBorders>
              <w:bottom w:val="single" w:sz="8" w:color="D5EAEA"/>
            </w:tcBorders>
            <w:shd w:val="clear" w:color="auto" w:fill="D5EAEA"/>
          </w:tcPr>
          <w:p>
            <w:pPr>
              <w:spacing w:after="0"/>
              <w:rPr>
                <w:sz w:val="15"/>
                <w:szCs w:val="15"/>
                <w:color w:val="auto"/>
              </w:rPr>
            </w:pPr>
          </w:p>
        </w:tc>
        <w:tc>
          <w:tcPr>
            <w:tcW w:w="200" w:type="dxa"/>
            <w:vAlign w:val="bottom"/>
            <w:tcBorders>
              <w:bottom w:val="single" w:sz="8" w:color="0000FF"/>
            </w:tcBorders>
            <w:gridSpan w:val="2"/>
            <w:shd w:val="clear" w:color="auto" w:fill="D5EAEA"/>
          </w:tcPr>
          <w:p>
            <w:pPr>
              <w:spacing w:after="0" w:line="167" w:lineRule="exact"/>
              <w:rPr>
                <w:sz w:val="20"/>
                <w:szCs w:val="20"/>
                <w:color w:val="auto"/>
              </w:rPr>
            </w:pPr>
            <w:r>
              <w:rPr>
                <w:rFonts w:ascii="Arial" w:cs="Arial" w:eastAsia="Arial" w:hAnsi="Arial"/>
                <w:sz w:val="17"/>
                <w:szCs w:val="17"/>
                <w:color w:val="0000FF"/>
                <w:w w:val="94"/>
              </w:rPr>
              <w:t>40</w:t>
            </w:r>
          </w:p>
        </w:tc>
        <w:tc>
          <w:tcPr>
            <w:tcW w:w="920" w:type="dxa"/>
            <w:vAlign w:val="bottom"/>
            <w:tcBorders>
              <w:bottom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Borders>
              <w:bottom w:val="single" w:sz="8" w:color="0000FF"/>
            </w:tcBorders>
            <w:gridSpan w:val="14"/>
          </w:tcPr>
          <w:p>
            <w:pPr>
              <w:spacing w:after="0" w:line="167" w:lineRule="exact"/>
              <w:rPr>
                <w:sz w:val="20"/>
                <w:szCs w:val="20"/>
                <w:color w:val="auto"/>
              </w:rPr>
            </w:pPr>
            <w:r>
              <w:rPr>
                <w:rFonts w:ascii="Arial" w:cs="Arial" w:eastAsia="Arial" w:hAnsi="Arial"/>
                <w:sz w:val="17"/>
                <w:szCs w:val="17"/>
                <w:color w:val="0000FF"/>
                <w:w w:val="99"/>
              </w:rPr>
              <w:t>Where You Can Find More Information</w:t>
            </w:r>
          </w:p>
        </w:tc>
        <w:tc>
          <w:tcPr>
            <w:tcW w:w="5400" w:type="dxa"/>
            <w:vAlign w:val="bottom"/>
            <w:gridSpan w:val="5"/>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Borders>
              <w:bottom w:val="single" w:sz="8" w:color="0000FF"/>
            </w:tcBorders>
            <w:gridSpan w:val="2"/>
          </w:tcPr>
          <w:p>
            <w:pPr>
              <w:spacing w:after="0" w:line="167" w:lineRule="exact"/>
              <w:rPr>
                <w:sz w:val="20"/>
                <w:szCs w:val="20"/>
                <w:color w:val="auto"/>
              </w:rPr>
            </w:pPr>
            <w:r>
              <w:rPr>
                <w:rFonts w:ascii="Arial" w:cs="Arial" w:eastAsia="Arial" w:hAnsi="Arial"/>
                <w:sz w:val="17"/>
                <w:szCs w:val="17"/>
                <w:color w:val="0000FF"/>
                <w:w w:val="94"/>
              </w:rPr>
              <w:t>41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20" w:type="dxa"/>
            <w:vAlign w:val="bottom"/>
            <w:gridSpan w:val="19"/>
            <w:shd w:val="clear" w:color="auto" w:fill="D5EAEA"/>
          </w:tcPr>
          <w:p>
            <w:pPr>
              <w:spacing w:after="0" w:line="167" w:lineRule="exact"/>
              <w:rPr>
                <w:sz w:val="20"/>
                <w:szCs w:val="20"/>
                <w:color w:val="auto"/>
              </w:rPr>
            </w:pPr>
            <w:r>
              <w:rPr>
                <w:rFonts w:ascii="Arial" w:cs="Arial" w:eastAsia="Arial" w:hAnsi="Arial"/>
                <w:sz w:val="17"/>
                <w:szCs w:val="17"/>
                <w:color w:val="0000FF"/>
              </w:rPr>
              <w:t>Information Incorporated by Reference</w:t>
            </w:r>
          </w:p>
        </w:tc>
        <w:tc>
          <w:tcPr>
            <w:tcW w:w="2900" w:type="dxa"/>
            <w:vAlign w:val="bottom"/>
            <w:gridSpan w:val="4"/>
            <w:shd w:val="clear" w:color="auto" w:fill="D5EAEA"/>
          </w:tcPr>
          <w:p>
            <w:pPr>
              <w:ind w:left="1780"/>
              <w:spacing w:after="0" w:line="167" w:lineRule="exact"/>
              <w:rPr>
                <w:sz w:val="20"/>
                <w:szCs w:val="20"/>
                <w:color w:val="auto"/>
              </w:rPr>
            </w:pPr>
            <w:r>
              <w:rPr>
                <w:rFonts w:ascii="Arial" w:cs="Arial" w:eastAsia="Arial" w:hAnsi="Arial"/>
                <w:sz w:val="17"/>
                <w:szCs w:val="17"/>
                <w:color w:val="0000FF"/>
              </w:rPr>
              <w:t>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D5EAEA"/>
          </w:tcPr>
          <w:p>
            <w:pPr>
              <w:spacing w:after="0"/>
              <w:rPr>
                <w:sz w:val="2"/>
                <w:szCs w:val="2"/>
                <w:color w:val="auto"/>
              </w:rPr>
            </w:pPr>
          </w:p>
        </w:tc>
        <w:tc>
          <w:tcPr>
            <w:tcW w:w="100" w:type="dxa"/>
            <w:vAlign w:val="bottom"/>
            <w:shd w:val="clear" w:color="auto" w:fill="D5EAEA"/>
          </w:tcPr>
          <w:p>
            <w:pPr>
              <w:spacing w:after="0"/>
              <w:rPr>
                <w:sz w:val="2"/>
                <w:szCs w:val="2"/>
                <w:color w:val="auto"/>
              </w:rPr>
            </w:pPr>
          </w:p>
        </w:tc>
        <w:tc>
          <w:tcPr>
            <w:tcW w:w="320" w:type="dxa"/>
            <w:vAlign w:val="bottom"/>
            <w:shd w:val="clear" w:color="auto" w:fill="D5EAEA"/>
          </w:tcPr>
          <w:p>
            <w:pPr>
              <w:spacing w:after="0"/>
              <w:rPr>
                <w:sz w:val="2"/>
                <w:szCs w:val="2"/>
                <w:color w:val="auto"/>
              </w:rPr>
            </w:pPr>
          </w:p>
        </w:tc>
        <w:tc>
          <w:tcPr>
            <w:tcW w:w="1020" w:type="dxa"/>
            <w:vAlign w:val="bottom"/>
            <w:shd w:val="clear" w:color="auto" w:fill="D5EAEA"/>
          </w:tcPr>
          <w:p>
            <w:pPr>
              <w:spacing w:after="0"/>
              <w:rPr>
                <w:sz w:val="2"/>
                <w:szCs w:val="2"/>
                <w:color w:val="auto"/>
              </w:rPr>
            </w:pPr>
          </w:p>
        </w:tc>
        <w:tc>
          <w:tcPr>
            <w:tcW w:w="3580" w:type="dxa"/>
            <w:vAlign w:val="bottom"/>
            <w:shd w:val="clear" w:color="auto" w:fill="D5EAEA"/>
          </w:tcPr>
          <w:p>
            <w:pPr>
              <w:spacing w:after="0"/>
              <w:rPr>
                <w:sz w:val="2"/>
                <w:szCs w:val="2"/>
                <w:color w:val="auto"/>
              </w:rPr>
            </w:pPr>
          </w:p>
        </w:tc>
        <w:tc>
          <w:tcPr>
            <w:tcW w:w="1780" w:type="dxa"/>
            <w:vAlign w:val="bottom"/>
            <w:shd w:val="clear" w:color="auto" w:fill="D5EAEA"/>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920" w:type="dxa"/>
            <w:vAlign w:val="bottom"/>
            <w:shd w:val="clear" w:color="auto" w:fill="D5EAE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ABOUT THIS PROSPECTUS</w:t>
      </w:r>
    </w:p>
    <w:p>
      <w:pPr>
        <w:spacing w:after="0" w:line="193"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This prospectus is a part of a registration statement that we filed with the SEC, utilizing a “shelf” registration process. Under this shelf registration process, we may, from time to time, sell up to $ 200,000,000 of any combination of the securities described in this prospectus in one or more offerings. This prospectus provides you with a general description of the securities we may offer.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160"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Before buying any of the securities that we are offering, you should carefully read both this prospectus and any prospectus supplement with all of the information incorporated by reference in this prospectus, as well as the additional information described under the headings “Where You Can Find More Information” and “Information Incorporated by Reference.” These documents contain important information that you should consider when making your investment decision.</w:t>
      </w:r>
    </w:p>
    <w:p>
      <w:pPr>
        <w:spacing w:after="0" w:line="15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We have filed or incorporated by reference exhibits to the registration statement of which this prospectus forms a part. You should read the exhibits carefully for provisions that may be important to you.</w:t>
      </w:r>
    </w:p>
    <w:p>
      <w:pPr>
        <w:spacing w:after="0" w:line="135"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 for example, a prospectus supplement or a document incorporated by reference in this prospectus—the statement in the document having the later date modifies or supersedes the earlier statement.</w:t>
      </w:r>
    </w:p>
    <w:p>
      <w:pPr>
        <w:spacing w:after="0" w:line="155"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7"/>
          <w:szCs w:val="17"/>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43"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Neither we nor any underwriters, dealers or agents have authorized anyone to provide you with any information or to represent as to anything different from, or not contained in, this prospectus, any amendment or supplement to this prospectus, or in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160"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Neither we nor any underwriters, dealers or agents have taken any action that would permit the offering or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SEC must inform themselves about, and observe any restrictions relating to, the offering of the securities described in this prospectus and the distribution of this prospectus or any filed free writing prospectus outside of the United States.</w:t>
      </w:r>
    </w:p>
    <w:p>
      <w:pPr>
        <w:spacing w:after="0" w:line="155"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b w:val="1"/>
          <w:bCs w:val="1"/>
          <w:color w:val="auto"/>
        </w:rPr>
        <w:t>This prospectus is not a prospectus for the purposes of the Irish Companies Act 2014 (as amended), the EU Prospectus Regulation (EU) 2017/1129, the European Union (Prospectus) Regulations 2019 of Ireland (as amended) or the Central Bank (Investment Market Conduct) Rules 2019 of Ireland and the Central Bank of Ireland has not approved this prospectus.</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and Industry Data</w:t>
      </w:r>
    </w:p>
    <w:p>
      <w:pPr>
        <w:spacing w:after="0" w:line="193"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are a clinical-stage biopharmaceutical company dedicated to transforming the treatment of psychiatric and neurological disorders. Our initial focus is on developing our novel and proprietary mebufotenin (5-methoxy-N,N-dimethyltryptamine, or 5-MeO-DMT) therapies for the treatment of patients with treatment-resistant depression, or TRD. Our portfolio currently includes GH001, our proprietary inhalable mebufotenin product candidate which is delivered via a vaporization device produced by a third party, and GH002, our proprietary intravenous mebufotenin product candidate, and GH003, our proprietary intranasal mebufotenin product candidate. With GH001, we have completed two Phase 1 healthy volunteer clinical trials (GH001-HV-101 and GH001-HV-103), in which administration of GH001 via inhalation was observed to be well tolerated at the investigated single dose levels and in an individualized dosing regimen, or IDR, with intra-subject dose escalation within a single day. We have also completed a Phase 1/2 clinical trial in patients with TRD (GH001-TRD-102). Based on observed clinical activity in the Phase 1 part of the clinical trial, we believe that administration of a single dose of GH001 has the potential to induce ultra-rapid remissions as measured by the Montgomery– Åsberg Depression Rating Scale, or MADRS, in certain patients, driven by the ultra-rapid onset of psychoactive effects (commonly within seconds) and an intense and short-lived (commonly five to 30 minutes) psychoactive experience. Based on observed clinical activity in the Phase 2 part of the trial, we believe that administration of GH001 in an IDR with intra-subject dose escalation within a single day can further increase the MADRS remission rate as compared to a single dose of GH001.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Corporate Information</w:t>
      </w:r>
    </w:p>
    <w:p>
      <w:pPr>
        <w:spacing w:after="0" w:line="193"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Our principal place of business is located at Joshua Dawson House, Dawson Street, Dublin 2, D02 RY95, Ireland, and our telephone number is +353 1 437 8334. Our website address is www.ghres.com. We do not incorporate the information on or accessible through our website into this prospectus, and you should not consider any information on, or that can be accessed through, our website as part of this prospectus.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Implications of Being an Emerging Growth Company and a Foreign Private Issuer</w:t>
      </w:r>
    </w:p>
    <w:p>
      <w:pPr>
        <w:spacing w:after="0" w:line="193"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As a company with less than $1.24 billion in revenue during our last fiscal year, we qualify as an “emerging growth company” as defined in the Jumpstart Our Business Startups Act of 2012, as amended, or the JOBS Act. An emerging growth company may take advantage of specified reduced disclosure and other requirements that are otherwise applicable generally to public companies. These provisions include, but are not limited to:</w:t>
      </w:r>
    </w:p>
    <w:p>
      <w:pPr>
        <w:spacing w:after="0" w:line="155" w:lineRule="exact"/>
        <w:rPr>
          <w:sz w:val="20"/>
          <w:szCs w:val="20"/>
          <w:color w:val="auto"/>
        </w:rPr>
      </w:pPr>
    </w:p>
    <w:p>
      <w:pPr>
        <w:ind w:left="620" w:hanging="308"/>
        <w:spacing w:after="0" w:line="272" w:lineRule="auto"/>
        <w:tabs>
          <w:tab w:leader="none" w:pos="6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 or the Sarbanes-Oxley Act; and</w:t>
      </w:r>
    </w:p>
    <w:p>
      <w:pPr>
        <w:spacing w:after="0" w:line="135" w:lineRule="exact"/>
        <w:rPr>
          <w:rFonts w:ascii="Times New Roman" w:cs="Times New Roman" w:eastAsia="Times New Roman" w:hAnsi="Times New Roman"/>
          <w:sz w:val="17"/>
          <w:szCs w:val="17"/>
          <w:color w:val="auto"/>
        </w:rPr>
      </w:pPr>
    </w:p>
    <w:p>
      <w:pPr>
        <w:jc w:val="both"/>
        <w:ind w:left="620" w:hanging="308"/>
        <w:spacing w:after="0" w:line="255" w:lineRule="auto"/>
        <w:tabs>
          <w:tab w:leader="none" w:pos="6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49"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We may take advantage of these exemptions for up to five years or such earlier time that we are no longer an emerging growth company. We would cease to be an emerging growth company upon the earlier to occur of: (i) the last day of the fiscal year in which we have total annual gross revenue of $1.24 billion or more; (ii) the date on which we have issued more than $1 billion in nonconvertible debt during the previous three-year period; (iii) the date on which we are deemed to be a large accelerated filer under the rules of the SEC; or (iv) December 31, 2026. We may choose to take advantage of some but not all of these exemptions.</w:t>
      </w:r>
    </w:p>
    <w:p>
      <w:pPr>
        <w:spacing w:after="0" w:line="157" w:lineRule="exact"/>
        <w:rPr>
          <w:sz w:val="20"/>
          <w:szCs w:val="20"/>
          <w:color w:val="auto"/>
        </w:rPr>
      </w:pPr>
    </w:p>
    <w:p>
      <w:pPr>
        <w:jc w:val="both"/>
        <w:ind w:left="200" w:firstLine="309"/>
        <w:spacing w:after="0" w:line="255"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ind w:left="620" w:hanging="308"/>
        <w:spacing w:after="0" w:line="272" w:lineRule="auto"/>
        <w:tabs>
          <w:tab w:leader="none" w:pos="6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sections of the Exchange Act regulating the solicitation of proxies, consents or authorizations with respect to a security registered under the Exchange Act;</w:t>
      </w:r>
    </w:p>
    <w:p>
      <w:pPr>
        <w:spacing w:after="0" w:line="13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requirement to comply with Regulation FD, which restricts the selective disclosure of material information;</w:t>
      </w:r>
    </w:p>
    <w:p>
      <w:pPr>
        <w:spacing w:after="0" w:line="202"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sections of the Exchange Act requiring insiders to file public reports of their share ownership and trading activities and liability for insiders who profit from trades made in a short period of time; and</w:t>
      </w:r>
    </w:p>
    <w:p>
      <w:pPr>
        <w:spacing w:after="0" w:line="135"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36"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Even if we no longer qualify as an emerging growth company, but remain a foreign private issuer, we will continue to be exempt from the more stringent compensation disclosures required of companies that are neither an emerging growth company nor a foreign private issuer. As a result, we do not know whether some investors will find our ordinary shares less attractive, which may result in a less active trading market for our ordinary shares or more volatility in the price of our ordinary shares.</w:t>
      </w:r>
    </w:p>
    <w:p>
      <w:pPr>
        <w:spacing w:after="0" w:line="155"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55"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193"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Investing in our securities involves risk. Before making a decision to invest in our securities, you should carefully consider the risks described under “Risk Factors” in the applicable prospectus supplement and in our then-most recent annual report on Form 20-F, incorporated by reference in this prospectus, and any updates to those risk factors in our reports on Form 6-K which are specifically identified therein as being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93"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This prospectus and the documents incorporated by reference in this prospectus contain statements that are, or may deemed to be, forward-looking statements within the meaning of Section 21E of the Exchange Act and Section 27A of the Securities Act of 1933, as amended, or the Securities Act. All statements other than statements of historical fact included in this prospectus, including statements regarding our future results of operations and financial position, business strategy, product candidates, research pipeline, ongoing and currently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“may,” “anticipate,” “believe,” “could,” “expect,” “should,” “plan,” “intend,” “estimate,” “will,” “potential” and “ongoing,” among others.</w:t>
      </w:r>
    </w:p>
    <w:p>
      <w:pPr>
        <w:spacing w:after="0" w:line="162"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Forward-looking statements appear in a number of places in this prospectus and in the documents incorporated by reference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and any risk factors in the documents incorporated by reference in this prospectus.</w:t>
      </w:r>
    </w:p>
    <w:p>
      <w:pPr>
        <w:spacing w:after="0" w:line="160"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These forward-looking statements speak only as of the date such statements are made and are subject to a number of risks, uncertainties and assumptions described more fully in our most recent annual report on Form 20-F.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or incorporated by reference in this prospectus, whether as a result of any new information, future events, changed circumstances or otherwise.</w:t>
      </w:r>
    </w:p>
    <w:p>
      <w:pPr>
        <w:spacing w:after="0" w:line="16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50"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93"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Unless otherwise indicated in a prospectus supplement, we currently intend to use the net proceeds from future offerings to strategically invest in research and clinical development of current and/or additional product candidates, working capital, capital expenditures and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SHARE CAPITAL AND CONSTITUTION</w:t>
      </w:r>
    </w:p>
    <w:p>
      <w:pPr>
        <w:spacing w:after="0" w:line="195" w:lineRule="exact"/>
        <w:rPr>
          <w:sz w:val="20"/>
          <w:szCs w:val="20"/>
          <w:color w:val="auto"/>
        </w:rPr>
      </w:pPr>
    </w:p>
    <w:p>
      <w:pPr>
        <w:jc w:val="both"/>
        <w:ind w:firstLine="309"/>
        <w:spacing w:after="0" w:line="248" w:lineRule="auto"/>
        <w:rPr>
          <w:sz w:val="20"/>
          <w:szCs w:val="20"/>
          <w:color w:val="auto"/>
        </w:rPr>
      </w:pPr>
      <w:r>
        <w:rPr>
          <w:rFonts w:ascii="Arial" w:cs="Arial" w:eastAsia="Arial" w:hAnsi="Arial"/>
          <w:sz w:val="17"/>
          <w:szCs w:val="17"/>
          <w:i w:val="1"/>
          <w:iCs w:val="1"/>
          <w:color w:val="auto"/>
        </w:rPr>
        <w:t>The following description of our share capital is a summary and does not purport to be complete. It is subject to and qualified in its entirety by reference to Irish law, including without limitation the Irish Companies Act 2014 (as amended) (referred to herein as the Irish Companies Act), and by reference to our Constitution, a copy of which is incorporated by reference as an exhibit to the registration statement of which this prospectus is a part. We encourage you to review applicable Irish law and our Constitution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193"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We are a public limited company incorporated under the laws of Ireland. We were incorporated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Pursuant to the terms of the Corporate Reorganization (as defined below), all shareholders of GH Research Ireland Limited exchanged each of the shares held by them for shares in GH Research PLC of the same share classes with the same shareholder rights and, as a result, GH Research Ireland Limited became a wholly owned subsidiary of GH Research PLC.</w:t>
      </w:r>
    </w:p>
    <w:p>
      <w:pPr>
        <w:spacing w:after="0" w:line="16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We are registered with the Companies Registration Office in Ireland under company registration number 691405 and our principal place of business is at Joshua Dawson House, Dawson Street, Dublin 2, D02 RY95, Ireland.</w:t>
      </w:r>
    </w:p>
    <w:p>
      <w:pPr>
        <w:spacing w:after="0" w:line="135"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Our objects, detailed in Clause 3 of our memorandum of association, found in our Constitution, are varied and wide ranging and include, among other things, the carrying on of the business of a holding company and of the businesses of a researcher, developer, manufacturer, distributor, wholesaler, retailer, service provider, investor, trader and any other business which may seem to our Board of Directors capable of being conveniently carried on in connection with these objects or calculated directly or indirectly to enhance the value of or render more profitable any of our property. For a more fulsome description of our objects, we encourage you to review the full version of our Constitution, a copy of which is incorporated by reference as an exhibit to the registration statement of which this prospectus forms a part.</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further information on our Constitution, please see “—Key Provisions of our Constitution”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and Issued Share Capital</w:t>
      </w:r>
    </w:p>
    <w:p>
      <w:pPr>
        <w:spacing w:after="0" w:line="193"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 GH Research PLC (referred to herein as the Corporate Reorganization).</w:t>
      </w:r>
    </w:p>
    <w:p>
      <w:pPr>
        <w:spacing w:after="0" w:line="155"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Pursuant to a shareholder resolution of GH Research PLC dated June 24, 2021, we effected (a) the conversion of (i) 5,923,079 Series A preferred shares of nominal value $0.01 each into 5,923,079 ordinary shares of nominal value $0.01 each and (ii) 25,379,047 Series B preferred shares of nominal value $0.01 each into 25,379,047 ordinary shares of nominal value $0.01 each and (b) the 2.50-for-one share consolidation of the ordinary shares of nominal value $0.01 each into ordinary shares of nominal value $ 0.025 each, such that the authorized share capital of the Company was thereafter $1,000,000,000 divided into 40,000,000,000 ordinary shares of nominal value $0.025 (collectively referred to herein as the Share Consolidation), immediately after the SEC declared the registration statement for our initial public offering effective.</w:t>
      </w:r>
    </w:p>
    <w:p>
      <w:pPr>
        <w:spacing w:after="0" w:line="16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As of December 31, 2022, the issued and outstanding share capital of GH Research PLC was 52,020,849 ordinary shares of nominal value $0.025 per share. We did not issue any ordinary shares in 2022.</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Our Share Capital During the Last Three Fiscal Years</w:t>
      </w:r>
    </w:p>
    <w:p>
      <w:pPr>
        <w:spacing w:after="0" w:line="193"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In this section, share amounts are presented as of the date of the relevant date and thus may not give effect to the Corporate Reorganization and/or the Share Consolidation. Since January 1, 2020, our share capital has changed as follows:</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ind w:left="620" w:hanging="308"/>
        <w:spacing w:after="0" w:line="272" w:lineRule="auto"/>
        <w:tabs>
          <w:tab w:leader="none" w:pos="6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November 2020, GH Research Ireland Limited increased its share capital through the issuance of 5,384,617 Series A preferred shares, nominal value €0.01 each;</w:t>
      </w:r>
    </w:p>
    <w:p>
      <w:pPr>
        <w:spacing w:after="0" w:line="135"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2020, GH Research Ireland Limited increased its share capital through the issuance of 538,462 Series A preferred shares, nominal value €0.01 each;</w:t>
      </w:r>
    </w:p>
    <w:p>
      <w:pPr>
        <w:spacing w:after="0" w:line="135"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March 2021, GH Research PLC was incorporated with an authorized share capital of €25,000, divided into 25,000 A ordinary shares, nominal value €1.00 each;</w:t>
      </w:r>
    </w:p>
    <w:p>
      <w:pPr>
        <w:spacing w:after="0" w:line="135"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April 2021, we entered into an investment and subscription agreement pursuant to which we issued and sold an aggregate of 25,379,047 Series B preferred shares, nominal value $0.01 each;</w:t>
      </w:r>
    </w:p>
    <w:p>
      <w:pPr>
        <w:spacing w:after="0" w:line="13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May 2021, we effected the Corporate Reorganization; and</w:t>
      </w:r>
    </w:p>
    <w:p>
      <w:pPr>
        <w:spacing w:after="0" w:line="202" w:lineRule="exact"/>
        <w:rPr>
          <w:rFonts w:ascii="Times New Roman" w:cs="Times New Roman" w:eastAsia="Times New Roman" w:hAnsi="Times New Roman"/>
          <w:sz w:val="17"/>
          <w:szCs w:val="17"/>
          <w:color w:val="auto"/>
        </w:rPr>
      </w:pPr>
    </w:p>
    <w:p>
      <w:pPr>
        <w:jc w:val="both"/>
        <w:ind w:left="620" w:hanging="308"/>
        <w:spacing w:after="0" w:line="255" w:lineRule="auto"/>
        <w:tabs>
          <w:tab w:leader="none" w:pos="6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June 2021, we (i) effected the Share Consolidation, (ii) adopted our Constitution, establishing our current authorized share capital consisting of $1,000,000,000 divided into 40,000,000,000 ordinary shares, nominal value $0.025 per share and (iii) completed our initial public offering, pursuant to which we issued 11,499,999 ordinary shares, nominal value $0.025 per share.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93" w:lineRule="exact"/>
        <w:rPr>
          <w:sz w:val="20"/>
          <w:szCs w:val="20"/>
          <w:color w:val="auto"/>
        </w:rPr>
      </w:pPr>
    </w:p>
    <w:p>
      <w:pPr>
        <w:ind w:firstLine="309"/>
        <w:spacing w:after="0" w:line="273" w:lineRule="auto"/>
        <w:rPr>
          <w:sz w:val="20"/>
          <w:szCs w:val="20"/>
          <w:color w:val="auto"/>
        </w:rPr>
      </w:pPr>
      <w:r>
        <w:rPr>
          <w:rFonts w:ascii="Arial" w:cs="Arial" w:eastAsia="Arial" w:hAnsi="Arial"/>
          <w:sz w:val="17"/>
          <w:szCs w:val="17"/>
          <w:color w:val="auto"/>
        </w:rPr>
        <w:t>Our ordinary shares have a nominal value of $0.025 per share. Further details of the rights attaching to the ordinary shares are set out in the comparison table below and in the Constitution. In accordance with the Constitution, the following summarizes the rights of our ordinary shares:</w:t>
      </w:r>
    </w:p>
    <w:p>
      <w:pPr>
        <w:spacing w:after="0" w:line="135" w:lineRule="exact"/>
        <w:rPr>
          <w:sz w:val="20"/>
          <w:szCs w:val="20"/>
          <w:color w:val="auto"/>
        </w:rPr>
      </w:pPr>
    </w:p>
    <w:p>
      <w:pPr>
        <w:ind w:left="620" w:hanging="308"/>
        <w:spacing w:after="0" w:line="272" w:lineRule="auto"/>
        <w:tabs>
          <w:tab w:leader="none" w:pos="6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holders of ordinary shares are entitled to one vote for each ordinary share held of record on all matters submitted to a vote of the shareholders;</w:t>
      </w:r>
    </w:p>
    <w:p>
      <w:pPr>
        <w:spacing w:after="0" w:line="135"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holders of our ordinary shares shall be entitled to receive notice of, attend, speak and vote at our general meetings and receive a copy of every report, accounts, circular or other documents sent out by us to our shareholders; and</w:t>
      </w:r>
    </w:p>
    <w:p>
      <w:pPr>
        <w:spacing w:after="0" w:line="135"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holders of our ordinary shares are entitled to receive such dividends as are recommended by our directors and declared by our shareholders or in the case of an interim dividend, declared by our directors.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ordinary shares are listed on the Nasdaq Global Market, under the symbol “GHRS.”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 of Shares</w:t>
      </w:r>
    </w:p>
    <w:p>
      <w:pPr>
        <w:spacing w:after="0" w:line="193"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Our share register is kept by Computershare Trust Company, N.A., which acts as transfer agent and registrar. The share register reflects only record owners of our shares. Irish law does not recognize fractional shares held of record.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Provisions of our Constitution</w:t>
      </w:r>
    </w:p>
    <w:p>
      <w:pPr>
        <w:spacing w:after="0" w:line="19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Constitution was adopted on June 24, 2021 and a summary of certain key provisions of the Constitution is set out below. The summary below is not a complete copy of the terms of the Constitution. For further information, please refer to the full version of the Constitution, a copy of which is incorporated by reference as an exhibit to the registration statement of which this prospectus forms a part.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Constitution contains, among other things, provisions to the following effect:</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Share Capital</w:t>
      </w:r>
    </w:p>
    <w:p>
      <w:pPr>
        <w:spacing w:after="0" w:line="191"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The share capital consists of ordinary shares, nominal value $0.025 per share. Our authorized share capital consists of $1,000,000,000 divided into 40,000,000,000 ordinary shares, nominal value $0.025 per share.</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We may issue shares subject to the maximum authorized share capital contained in our Constitution. The authorized share capital may be increased or reduced by a simple majority of the votes of the shareholders cast at a general meeting (which is referred to under Irish law as an ordinary resolution). The shares comprising our authorized share capital may be divided into shares of such nominal value as such resolution shall prescribe. As a matter of Irish company law, the directors of a company may issue new ordinary shares without shareholder approval once authorized to do so by the Constitution or by an ordinary resolution adopted by the shareholders at a general meeting. The authorization may be granted for a maximum period of five years, so it must be renewed by the shareholders by an ordinary resolution on or before the expiry of this term (if we wish to issue shares). The Constitution authorizes our Board of Directors to allot new ordinary shares without shareholder approval for a period of five years from the date of adoption of the Constitution.</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rights and restrictions to which the ordinary shares are subject are prescribed in the Constitution.</w:t>
      </w:r>
    </w:p>
    <w:p>
      <w:pPr>
        <w:spacing w:after="0" w:line="191"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holders of our ordinary shares are entitled to one vote for each ordinary share upon all matters presented to our shareholders. Subject to any preferences granted to other classes of our securities that may be outstanding in the future (including any preferred shares that may be created), there are no voting right restrictions or preferences with respect to our shareholders.</w:t>
      </w:r>
    </w:p>
    <w:p>
      <w:pPr>
        <w:spacing w:after="0" w:line="15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Irish law does not recognize fractional shares held of record. Accordingly, the Constitution does not provide for the issuance of fractional shares of ours, and our register of members, or the register of members, does not reflect any fractional shares.</w:t>
      </w:r>
    </w:p>
    <w:p>
      <w:pPr>
        <w:spacing w:after="0" w:line="135"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Whenever an alteration or reorganization of the share capital of ours would result in any of our shareholders becoming entitled to fractions of a share, our Board of Directors may, on behalf of those shareholders that would become entitled to fractions of a share, arrange for the sale of the shares representing fractions and the distribution of the net proceeds of sale in due proportion among the shareholders who would have been entitled to the fractions.</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Voting</w:t>
      </w:r>
    </w:p>
    <w:p>
      <w:pPr>
        <w:spacing w:after="0" w:line="191"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All matters, other than those requiring a special resolution, may be approved by a simple majority of the members present (in person or by proxy) at any general meeting. The presence, in person or by proxy, of one or more persons holding or representing by proxy at least 25% of the votes that may be cast by all members constitutes a quorum for the conduct of business.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any of our meetings, all resolutions put to our shareholders will be decided on a poll.</w:t>
      </w:r>
    </w:p>
    <w:p>
      <w:pPr>
        <w:spacing w:after="0" w:line="191"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Irish company law requires certain matters to be approved by not less than 75% of the votes cast at a general meeting of our shareholders (which is referred to under Irish law as a special resolution). Examples of matters requiring special resolutions include:</w:t>
      </w:r>
    </w:p>
    <w:p>
      <w:pPr>
        <w:spacing w:after="0" w:line="135" w:lineRule="exact"/>
        <w:rPr>
          <w:sz w:val="20"/>
          <w:szCs w:val="20"/>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amending the Constitution;</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approving a change of name of GH Research PLC;</w:t>
      </w:r>
    </w:p>
    <w:p>
      <w:pPr>
        <w:spacing w:after="0" w:line="202"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authorizing the entering into of a guarantee or provision of security in connection with a loan, quasi-loan or credit transaction to a director or connected person;</w:t>
      </w:r>
    </w:p>
    <w:p>
      <w:pPr>
        <w:spacing w:after="0" w:line="13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opting out of preemption rights on the issuance of new shares for cash;</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our re-registration from a public limited company to a private company;</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variation of class rights attaching to classes of shares (where the Constitution does not provide otherwise);</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purchase of our shares off-market;</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reduction of issued share capital;</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sanctioning a compromise/scheme of arrangement;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resolving that we be wound up by the Irish courts;</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resolving in favor of a shareholders’ voluntary winding up;</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re-designation of shares into different share classes; and</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setting the reissue price of treasury shares.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Variation of Rights</w:t>
      </w:r>
    </w:p>
    <w:p>
      <w:pPr>
        <w:spacing w:after="0" w:line="191"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Where our shares are divided into different classes, the rights attaching to a class of shares may only be varied or abrogated if (a) 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person holding or representing by proxy at least a majority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us of our own shares or by the creation or issue of further shares ranking pari passu therewith or subordinate thereto.</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Dividends</w:t>
      </w:r>
    </w:p>
    <w:p>
      <w:pPr>
        <w:spacing w:after="0" w:line="191" w:lineRule="exact"/>
        <w:rPr>
          <w:sz w:val="20"/>
          <w:szCs w:val="20"/>
          <w:color w:val="auto"/>
        </w:rPr>
      </w:pPr>
    </w:p>
    <w:p>
      <w:pPr>
        <w:jc w:val="both"/>
        <w:ind w:firstLine="309"/>
        <w:spacing w:after="0"/>
        <w:rPr>
          <w:sz w:val="20"/>
          <w:szCs w:val="20"/>
          <w:color w:val="auto"/>
        </w:rPr>
      </w:pPr>
      <w:r>
        <w:rPr>
          <w:rFonts w:ascii="Arial" w:cs="Arial" w:eastAsia="Arial" w:hAnsi="Arial"/>
          <w:sz w:val="17"/>
          <w:szCs w:val="17"/>
          <w:color w:val="auto"/>
        </w:rPr>
        <w:t>Under Irish law, dividends and distributions may only be made from distributable profits. Distributable profits, broadly, means the accumulated realized profits of a company, less accumulated realized losses of the company on a standalone basis. In addition, no dividend or distribution may be made unless the net assets of the company are not less than the aggregate of the company’s called up share capital plus undistributable reserves and the distribution does not reduce the company’s net assets below such aggregate. Undistributable reserves include a company’s undenominated capital (effectively its share premium and capital redemption reserve) and the amount by which the company’s accumulated unrealized profits, so far as not previously utilized by any capitalization, exceed the company’s accumulated unrealized losses, so far as not previously written off in a reduction or reorganization of capital. The determination as to whether or not the company has sufficient distributable profits to fund a dividend must be made by reference to “relevant financial statements” of the company. The “relevant financial statements” are either the last set of unconsolidated annual audited financial statements or unaudited unconsolidated financial statements prepared in accordance with the Irish Companies Act, which give a “true and fair view” of the company’s unconsolidated financial position in accordance with accepted accounting practice in Ireland. These “relevant financial statements” must be filed in the Companies Registration Office (the official public registry for companies in Ireland).</w:t>
      </w:r>
    </w:p>
    <w:p>
      <w:pPr>
        <w:spacing w:after="0" w:line="361"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The Constitution authorizes the Board to declare such interim dividends as appear justified from the profits of the company without the approval of the shareholders. The dividends can be declared and paid in the form of cash or non-cash assets, subject to applicable law. We may pay dividends in any currency. The Board may deduct from any dividend or other moneys payable to any shareholder all sums of money, if any, due from the shareholder to the company in respect of our ordinary shares.</w:t>
      </w:r>
    </w:p>
    <w:p>
      <w:pPr>
        <w:spacing w:after="0" w:line="15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We may, by ordinary resolution, declare final dividends to be paid to our shareholders. However, no dividend shall exceed the amount recommended by the Board of Directors. The Board of Directors may also pay to the shareholders such dividends as interim or final dividends as appear to the directors to be justified by our profits.</w:t>
      </w:r>
    </w:p>
    <w:p>
      <w:pPr>
        <w:spacing w:after="0" w:line="150"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We have never declared or paid any cash dividend, and do not anticipate declaring or paying any cash dividends in the foreseeable future. We intend to retain all available funds and any future earnings to fund the development and expansion of our business. See the section in our annual report on Form 20-F for the year ended December 31, 2022 titled “Item 3. Key Information—D. Risk Factors—Risks Related to the Ownership of Our Ordinary Shares.” Because there is no present intention to pay dividends on our ordinary shares for the foreseeable future, capital appreciation, if any, will be a shareholder’s sole source of gains and such shareholder may never receive a return on the shareholder’s investment.</w:t>
      </w:r>
    </w:p>
    <w:p>
      <w:pPr>
        <w:spacing w:after="0" w:line="15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For information about the Irish tax considerations relating to dividend payments, see the section in our most recent annual report on Form 20-F titled “Item 10. Additional Information—E. Taxation.”</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Liquidation</w:t>
      </w:r>
    </w:p>
    <w:p>
      <w:pPr>
        <w:spacing w:after="0" w:line="191"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Our duration will be unlimited. We may be dissolved and wound up at any time by way of a shareholders’ voluntary winding up or a creditors’ winding up. In the case of a shareholders’ voluntary winding up, a special resolution of the shareholders is required. We may also be dissolved by way of court order on the application of a creditor, or by the Companies Registration Office as an enforcement measure in circumstances where we fail to file certain returns.</w:t>
      </w:r>
    </w:p>
    <w:p>
      <w:pPr>
        <w:spacing w:after="0" w:line="155"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The rights of the shareholders to a return of our assets on dissolution or winding up, following the settlement of all claims of creditors, are prescribed in the Constitution and may be further prescribed in the terms of any preferred shares we issue from time to time. In particular, if we have issued any preferred shares, holders of such preferred shares may have the right to priority in our dissolution or winding up. The Constitution provides that, subject to the priorities of any creditors, the assets will be distributed to the shareholders in proportion to the paid up nominal value of the shares held by such shareholder. The Constitution provides that the shareholders are entitled to participate pro rata in a winding up, but their right to do so is subject to the rights of any holders of the shares issued upon special terms and conditions to participate under the terms of any series or class of such shares.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Preemption Rights</w:t>
      </w:r>
    </w:p>
    <w:p>
      <w:pPr>
        <w:spacing w:after="0" w:line="191"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Under Irish law, certain statutory preemption rights apply automatically in favor of shareholders where shares are to be issued for cash. However, we have opted out of these preemption rights in the Constitution as permitted under Irish company law for a period of five years from the date of adoption of the Constitution. Generally, this opt-out is required to be renewed at least every five years by a special resolution of our shareholders. If the opt-out is not renewed, as a general rule, shares issued for cash must be offered to our existing shareholders on a pro rata basis to their existing shareholding before any of our shares may be issued to any new shareholders. Statutory preemption rights do not apply (i) where shares are issued wholly or partly for non-cash consideration (such as in 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Alteration of Share Capital</w:t>
      </w:r>
    </w:p>
    <w:p>
      <w:pPr>
        <w:spacing w:after="0" w:line="191"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Under our Constitution, we may, by ordinary resolution, divide any or all of our share capital into shares of a smaller nominal value than our existing shares (often referred to as a share split) or consolidate any or all of our share capital into shares of larger nominal value than our existing shares (often referred to as a reverse share split).</w:t>
      </w:r>
    </w:p>
    <w:p>
      <w:pPr>
        <w:spacing w:after="0" w:line="15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We may, by ordinary resolution, reduce the authorized but unissued share capital. We may, by special resolution and subject to confirmation by the Irish High Court, reduce the issued share capital and any undenominated share capital.</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Appointment of Directors</w:t>
      </w:r>
    </w:p>
    <w:p>
      <w:pPr>
        <w:spacing w:after="0" w:line="191"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Constitution provides for a minimum of two directors and a maximum of nine directors. Our shareholders may from time to time increase or reduce the maximum number, or increase the minimum number, of directors by ordinary resolution. Our Board of Directors determines the number of directors within the range of two to nine. Our Constitution does not require directors to retire on account of age.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Proceedings of Directors</w:t>
      </w:r>
    </w:p>
    <w:p>
      <w:pPr>
        <w:spacing w:after="0" w:line="191"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Subject to the provisions of our Constitution, our Board of Directors may regulate their proceedings as they deem appropriate. A director may, and the secretary at the request of a director shall, call a meeting of the directors. The quorum for a meeting of our Board of Directors shall be fixed from time to time by decision of the Board of Directors, but it must never be fewer than two directors (or duly appointed alternate directors). 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Conflicts of Interest</w:t>
      </w:r>
    </w:p>
    <w:p>
      <w:pPr>
        <w:spacing w:after="0" w:line="191"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Our directors have certain statutory and fiduciary duties as a matter of Irish law. All of the directors have equal and overall responsibility for management of our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155" w:lineRule="exact"/>
        <w:rPr>
          <w:sz w:val="20"/>
          <w:szCs w:val="20"/>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to act in good faith and in the best interests of the company;</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to act honestly and responsibly in relation to the company’s affairs;</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to act in accordance with the company’s constitution and to exercise powers only for lawful purposes;</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not to misuse the company’s property, information and/or opportunity;</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not to fetter their independent judgment;</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to avoid conflicts of interest;</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to exercise care, skill and diligence; and</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to have regard for the interests of the company’s shareholders.</w:t>
      </w:r>
    </w:p>
    <w:p>
      <w:pPr>
        <w:spacing w:after="0" w:line="203"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ourselves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 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believes to merit confidence.</w:t>
      </w:r>
    </w:p>
    <w:p>
      <w:pPr>
        <w:spacing w:after="0" w:line="162"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Our Constitution provides that a director shall generally not vote at a meeting of the directors or a committee of directors on any resolution concerning a matter in which he or she has, directly or indirectly or together with any person or persons connected with him or her an interest which is material or a duty which conflicts or may conflict with the interests of the Company.</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Directors’ and Officers’ Indemnity</w:t>
      </w:r>
    </w:p>
    <w:p>
      <w:pPr>
        <w:spacing w:after="0" w:line="191"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To the fullest extent permitted by Irish law, the Constitution contains indemnification for the benefit of, amongst others, our directors, 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the company’s constitution or any contract between the company and the director or company secretary. This restriction does not apply to our executive officers who are not directors, or other persons who would not be considered “officers” within the meaning of the Irish Companies Act.</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Our Constitution also contains indemnification and expense advancement provisions for persons who are not directors or our corporate secretary.</w:t>
      </w:r>
    </w:p>
    <w:p>
      <w:pPr>
        <w:spacing w:after="0" w:line="13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maintain customary directors’ and officers’ liability insurance and other types of comparable insurance.</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Meetings</w:t>
      </w:r>
    </w:p>
    <w:p>
      <w:pPr>
        <w:spacing w:after="0" w:line="193"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We are required to hold an annual general meeting in each calendar year within nine months of our fiscal year-end and with no more than 15 months elapsing between annual general meetings.</w:t>
      </w:r>
    </w:p>
    <w:p>
      <w:pPr>
        <w:spacing w:after="0" w:line="13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Notice of an annual general meeting must be given to all of our shareholders and to our auditors. The Constitution provides for a minimum notice period for an annual general meeting of 21 clear days, which is the minimum permitted under Irish law.</w:t>
      </w:r>
    </w:p>
    <w:p>
      <w:pPr>
        <w:spacing w:after="0" w:line="135"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Generally speaking, the only matters which must, as a matter of Irish company law, be transacted at an annual general meeting are the presentation of the annual statutory financial statements,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 Where the constitution of a company so provides, as our Constitution does, additional matters may be required to be transacted such as the election and re-election of directors.</w:t>
      </w:r>
    </w:p>
    <w:p>
      <w:pPr>
        <w:spacing w:after="0" w:line="157"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As provided under Irish law, extraordinary general meetings may be convened (i) by our Board of Directors, (ii) by request of our shareholders holding not less than 10% of our paid up share capital carrying voting rights for so long as our shares are not admitted to trading on a regulated market in any member state of the European Union, (iii) by request of our statutory auditor in connection with its resignation or (iv) in exceptional cases, by court order.</w:t>
      </w:r>
    </w:p>
    <w:p>
      <w:pPr>
        <w:spacing w:after="0" w:line="155"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Notice of an extraordinary general meeting must be given to all our shareholders and to our auditors. Under Irish law and the Constitution, the minimum notice period of 21 clear days’ prior written notice applies, except that in the case of an extraordinary general meeting, if the company offers facilities to members to vote by electronic means and shareholders have passed a special resolution at the immediately preceding general meeting approving such shortened notice period, an extraordinary general meeting can be called with 14 clear days’ prior written notice (provided that no special resolutions are proposed to be put to a vote at that meeting). The notice periods prescribed for the convening of general meetings are on the basis of “clear” days, meaning the deemed date of receipt of the notice and the date of the meeting itself are not counted towards the minimum number of days’ notice required.</w:t>
      </w:r>
    </w:p>
    <w:p>
      <w:pPr>
        <w:spacing w:after="0" w:line="160"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In the case of an extraordinary general meeting convened by our shareholders, the proposed purpose of the meeting must be set out in the requisition notice. Upon receipt of any such valid requisition notice, the Board of Directors has 21 days to convene a meeting of our shareholders to vote on the matters set out in the requisition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60"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If the Board of Directors becomes aware that our net assets are not greater than half of the amount of our called up share capital, the directors must convene an extraordinary general meeting of shareholders not later than 28 days from the date that they learn of this fact to consider how to address the situation.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Powers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Subject to the Constitution and the Irish Companies Act, our Board of Directors may exercise all of our powers to:</w:t>
      </w:r>
    </w:p>
    <w:p>
      <w:pPr>
        <w:spacing w:after="0" w:line="191" w:lineRule="exact"/>
        <w:rPr>
          <w:sz w:val="20"/>
          <w:szCs w:val="20"/>
          <w:color w:val="auto"/>
        </w:rPr>
      </w:pPr>
    </w:p>
    <w:p>
      <w:pPr>
        <w:ind w:left="940" w:hanging="628"/>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borrow money;</w:t>
      </w:r>
    </w:p>
    <w:p>
      <w:pPr>
        <w:spacing w:after="0" w:line="190" w:lineRule="exact"/>
        <w:rPr>
          <w:rFonts w:ascii="Arial" w:cs="Arial" w:eastAsia="Arial" w:hAnsi="Arial"/>
          <w:sz w:val="17"/>
          <w:szCs w:val="17"/>
          <w:color w:val="auto"/>
        </w:rPr>
      </w:pPr>
    </w:p>
    <w:p>
      <w:pPr>
        <w:ind w:left="940" w:hanging="628"/>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indemnify and guarantee;</w:t>
      </w:r>
    </w:p>
    <w:p>
      <w:pPr>
        <w:spacing w:after="0" w:line="190" w:lineRule="exact"/>
        <w:rPr>
          <w:rFonts w:ascii="Arial" w:cs="Arial" w:eastAsia="Arial" w:hAnsi="Arial"/>
          <w:sz w:val="17"/>
          <w:szCs w:val="17"/>
          <w:color w:val="auto"/>
        </w:rPr>
      </w:pPr>
    </w:p>
    <w:p>
      <w:pPr>
        <w:ind w:left="940" w:hanging="628"/>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 or charge;</w:t>
      </w:r>
    </w:p>
    <w:p>
      <w:pPr>
        <w:spacing w:after="0" w:line="190" w:lineRule="exact"/>
        <w:rPr>
          <w:rFonts w:ascii="Arial" w:cs="Arial" w:eastAsia="Arial" w:hAnsi="Arial"/>
          <w:sz w:val="17"/>
          <w:szCs w:val="17"/>
          <w:color w:val="auto"/>
        </w:rPr>
      </w:pPr>
    </w:p>
    <w:p>
      <w:pPr>
        <w:ind w:left="940" w:hanging="628"/>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create and issue debentures and other securities; and</w:t>
      </w:r>
    </w:p>
    <w:p>
      <w:pPr>
        <w:spacing w:after="0" w:line="190" w:lineRule="exact"/>
        <w:rPr>
          <w:rFonts w:ascii="Arial" w:cs="Arial" w:eastAsia="Arial" w:hAnsi="Arial"/>
          <w:sz w:val="17"/>
          <w:szCs w:val="17"/>
          <w:color w:val="auto"/>
        </w:rPr>
      </w:pPr>
    </w:p>
    <w:p>
      <w:pPr>
        <w:ind w:left="940" w:hanging="628"/>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give security either outright or as collateral security for any of our debt, liability or obligation or any of a third party.</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Uncertificated Shares</w:t>
      </w:r>
    </w:p>
    <w:p>
      <w:pPr>
        <w:spacing w:after="0" w:line="19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Shares in an Irish public limited company such as ours can, in principle, be issued and held either in a so-called certificated (i.e., hard copy share certificates are issued to shareholders) or a so-called uncertificated (i.e., dematerialized) form. All shareholders’ names must be entered into the register of members maintained by an Irish public limited company in order to acquire legal title to the shares.</w:t>
      </w:r>
    </w:p>
    <w:p>
      <w:pPr>
        <w:spacing w:after="0" w:line="15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To make shares in an Irish public limited company deliverable for trading on an exchange, the shares are required to be issued in uncertificated form.</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of Constitution</w:t>
      </w:r>
    </w:p>
    <w:p>
      <w:pPr>
        <w:spacing w:after="0" w:line="193"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Irish company law requires a special resolution of our shareholders (approval by not less than 75% of the votes cast at a general meeting of our shareholders) to approve any amendments to the Constitution.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 of Irish Law</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Irish Takeover Rules and Substantial Acquisition Rules</w:t>
      </w:r>
    </w:p>
    <w:p>
      <w:pPr>
        <w:spacing w:after="0" w:line="191"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A transaction in which a third party seeks to acquire 30% or more of our voting rights and any other acquisitions of our securities will be governed by the Irish Takeover Panel Act 1997 and the Irish Takeover Rules made thereunder, the Irish Takeover Panel Act, 1997, Takeover Rules, 2022, or the Irish Takeover Rules, and will be regulated by the Irish Takeover Panel. The general principles of the Irish Takeover Rules, or the General Principles, and certain important aspects of the Irish Takeover Rules are described below.</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General Principles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Irish Takeover Rules are built on the following General Principles which will apply to any transaction regulated by the Irish Takeover Panel:</w:t>
      </w:r>
    </w:p>
    <w:p>
      <w:pPr>
        <w:spacing w:after="0" w:line="191" w:lineRule="exact"/>
        <w:rPr>
          <w:sz w:val="20"/>
          <w:szCs w:val="20"/>
          <w:color w:val="auto"/>
        </w:rPr>
      </w:pPr>
    </w:p>
    <w:p>
      <w:pPr>
        <w:ind w:firstLine="312"/>
        <w:spacing w:after="0" w:line="273" w:lineRule="auto"/>
        <w:tabs>
          <w:tab w:leader="none" w:pos="55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event of an offer, all holders of securities of the target company must be afforded equivalent treatment and, if a person acquires control of a company, the other holders of securities must be protected;</w:t>
      </w:r>
    </w:p>
    <w:p>
      <w:pPr>
        <w:spacing w:after="0" w:line="134" w:lineRule="exact"/>
        <w:rPr>
          <w:rFonts w:ascii="Arial" w:cs="Arial" w:eastAsia="Arial" w:hAnsi="Arial"/>
          <w:sz w:val="17"/>
          <w:szCs w:val="17"/>
          <w:color w:val="auto"/>
        </w:rPr>
      </w:pPr>
    </w:p>
    <w:p>
      <w:pPr>
        <w:jc w:val="both"/>
        <w:ind w:firstLine="312"/>
        <w:spacing w:after="0" w:line="255" w:lineRule="auto"/>
        <w:tabs>
          <w:tab w:leader="none" w:pos="6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149" w:lineRule="exact"/>
        <w:rPr>
          <w:rFonts w:ascii="Arial" w:cs="Arial" w:eastAsia="Arial" w:hAnsi="Arial"/>
          <w:sz w:val="17"/>
          <w:szCs w:val="17"/>
          <w:color w:val="auto"/>
        </w:rPr>
      </w:pPr>
    </w:p>
    <w:p>
      <w:pPr>
        <w:ind w:firstLine="312"/>
        <w:spacing w:after="0" w:line="273" w:lineRule="auto"/>
        <w:tabs>
          <w:tab w:leader="none" w:pos="6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target company’s board of directors must act in the interests of that company as a whole and must not deny the holders of securities the opportunity to decide on the merits of the offer;</w:t>
      </w:r>
    </w:p>
    <w:p>
      <w:pPr>
        <w:spacing w:after="0" w:line="134" w:lineRule="exact"/>
        <w:rPr>
          <w:rFonts w:ascii="Arial" w:cs="Arial" w:eastAsia="Arial" w:hAnsi="Arial"/>
          <w:sz w:val="17"/>
          <w:szCs w:val="17"/>
          <w:color w:val="auto"/>
        </w:rPr>
      </w:pPr>
    </w:p>
    <w:p>
      <w:pPr>
        <w:ind w:firstLine="312"/>
        <w:spacing w:after="0" w:line="273" w:lineRule="auto"/>
        <w:tabs>
          <w:tab w:leader="none" w:pos="6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134" w:lineRule="exact"/>
        <w:rPr>
          <w:rFonts w:ascii="Arial" w:cs="Arial" w:eastAsia="Arial" w:hAnsi="Arial"/>
          <w:sz w:val="17"/>
          <w:szCs w:val="17"/>
          <w:color w:val="auto"/>
        </w:rPr>
      </w:pPr>
    </w:p>
    <w:p>
      <w:pPr>
        <w:ind w:firstLine="312"/>
        <w:spacing w:after="0" w:line="273" w:lineRule="auto"/>
        <w:tabs>
          <w:tab w:leader="none" w:pos="6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bidder can only announce an offer after ensuring that he or she can fulfill in full the consideration offered, if such is offered, and after taking all reasonable measures to secure the implementation of any other type of consideration;</w:t>
      </w:r>
    </w:p>
    <w:p>
      <w:pPr>
        <w:spacing w:after="0" w:line="134" w:lineRule="exact"/>
        <w:rPr>
          <w:rFonts w:ascii="Arial" w:cs="Arial" w:eastAsia="Arial" w:hAnsi="Arial"/>
          <w:sz w:val="17"/>
          <w:szCs w:val="17"/>
          <w:color w:val="auto"/>
        </w:rPr>
      </w:pPr>
    </w:p>
    <w:p>
      <w:pPr>
        <w:ind w:left="640" w:hanging="328"/>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target company may not be hindered in the conduct of its affairs longer than is reasonable by an offer for its securities; and</w:t>
      </w:r>
    </w:p>
    <w:p>
      <w:pPr>
        <w:spacing w:after="0" w:line="190" w:lineRule="exact"/>
        <w:rPr>
          <w:rFonts w:ascii="Arial" w:cs="Arial" w:eastAsia="Arial" w:hAnsi="Arial"/>
          <w:sz w:val="17"/>
          <w:szCs w:val="17"/>
          <w:color w:val="auto"/>
        </w:rPr>
      </w:pPr>
    </w:p>
    <w:p>
      <w:pPr>
        <w:ind w:firstLine="312"/>
        <w:spacing w:after="0" w:line="273" w:lineRule="auto"/>
        <w:tabs>
          <w:tab w:leader="none" w:pos="6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Transfer of Shares</w:t>
      </w:r>
    </w:p>
    <w:p>
      <w:pPr>
        <w:spacing w:after="0" w:line="189"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Under certain circumstances, a person who acquires shares, or other voting securities, of a company may be required under the Irish Takeover Rules to make a mandatory cash offer for the remaining outstanding voting securities in that company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a company, unless the Irish Takeover Panel otherwise consents. An acquisition of securities by a person holding, together with its concert parties, securities representing between 30% and 50% of the voting rights in a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Voluntary Bid; Requirements to Make a Cash Offer and Minimum Price Requirement</w:t>
      </w:r>
    </w:p>
    <w:p>
      <w:pPr>
        <w:spacing w:after="0" w:line="189"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If a person makes a voluntary offer to acquire our outstanding ordinary shares, the offer price must not be less than the highest price paid for our ordinary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155"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If the bidder or any of its concert parties has acquired our ordinary shares (1) during the 12-month period prior to the commencement of the offer period that represent more than 10% of our total ordinary shares or (2) at any time after the commencement of the offer period, the offer must be in cash or accompanied by a full cash alternative and the price per share must not be less than the highest price paid by the bidder or its concert parties during, in the case of clause (1), the 12-month period prior to the commencement of the offer period or, in the case of (2),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offer period will generally commence from the date of the first announcement of the offer or proposed offer.</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Substantial Acquisition Rules</w:t>
      </w:r>
    </w:p>
    <w:p>
      <w:pPr>
        <w:spacing w:after="0" w:line="189"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Takeover Timeline</w:t>
      </w:r>
    </w:p>
    <w:p>
      <w:pPr>
        <w:spacing w:after="0" w:line="189"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Under the Irish Takeover Rules, in certain circumstances a strict 42-day deadline will be imposed within which a person with whom we are in talks, or from whom we have received an approach, regarding a possible offer is required to make a firm offer for the Company, or announce they will not be making an offer. The Irish Takeover Panel may agree to extend this deadline at our request. This deadline may deter potential bidders from making an offer for the Company.</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Frustrating Action</w:t>
      </w:r>
    </w:p>
    <w:p>
      <w:pPr>
        <w:spacing w:after="0" w:line="189"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(1) the issue of shares, options, restricted share units or convertible securities, (2) the redemption or repurchase of securities by the company (save in certain circumstances), (3) material acquisitions or disposals, (4) entering into contracts other than in the ordinary course of business or (5) any action, other than seeking alternative offers, which may result in frustration of an offer, are prohibited during the course of an offer or at any earlier time during which our Board of Directors has reason to believe an offer is or may be imminent. Exceptions to this prohibition are available where:</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ind w:left="620" w:hanging="308"/>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action is approved by our shareholders at a general meeting; or</w:t>
      </w:r>
    </w:p>
    <w:p>
      <w:pPr>
        <w:spacing w:after="0" w:line="190" w:lineRule="exact"/>
        <w:rPr>
          <w:rFonts w:ascii="Arial" w:cs="Arial" w:eastAsia="Arial" w:hAnsi="Arial"/>
          <w:sz w:val="17"/>
          <w:szCs w:val="17"/>
          <w:color w:val="auto"/>
        </w:rPr>
      </w:pPr>
    </w:p>
    <w:p>
      <w:pPr>
        <w:ind w:left="620" w:hanging="308"/>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Irish Takeover Panel has given its consent, where:</w:t>
      </w:r>
    </w:p>
    <w:p>
      <w:pPr>
        <w:spacing w:after="0" w:line="190" w:lineRule="exact"/>
        <w:rPr>
          <w:rFonts w:ascii="Arial" w:cs="Arial" w:eastAsia="Arial" w:hAnsi="Arial"/>
          <w:sz w:val="17"/>
          <w:szCs w:val="17"/>
          <w:color w:val="auto"/>
        </w:rPr>
      </w:pPr>
    </w:p>
    <w:p>
      <w:pPr>
        <w:ind w:left="860" w:hanging="239"/>
        <w:spacing w:after="0"/>
        <w:tabs>
          <w:tab w:leader="none" w:pos="8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it is satisfied the action would not constitute frustrating action;</w:t>
      </w:r>
    </w:p>
    <w:p>
      <w:pPr>
        <w:spacing w:after="0" w:line="190" w:lineRule="exact"/>
        <w:rPr>
          <w:rFonts w:ascii="Arial" w:cs="Arial" w:eastAsia="Arial" w:hAnsi="Arial"/>
          <w:sz w:val="17"/>
          <w:szCs w:val="17"/>
          <w:color w:val="auto"/>
        </w:rPr>
      </w:pPr>
    </w:p>
    <w:p>
      <w:pPr>
        <w:ind w:firstLine="621"/>
        <w:spacing w:after="0" w:line="273" w:lineRule="auto"/>
        <w:tabs>
          <w:tab w:leader="none" w:pos="931" w:val="left"/>
        </w:tabs>
        <w:numPr>
          <w:ilvl w:val="1"/>
          <w:numId w:val="11"/>
        </w:numPr>
        <w:rPr>
          <w:rFonts w:ascii="Arial" w:cs="Arial" w:eastAsia="Arial" w:hAnsi="Arial"/>
          <w:sz w:val="17"/>
          <w:szCs w:val="17"/>
          <w:color w:val="auto"/>
        </w:rPr>
      </w:pPr>
      <w:r>
        <w:rPr>
          <w:rFonts w:ascii="Arial" w:cs="Arial" w:eastAsia="Arial" w:hAnsi="Arial"/>
          <w:sz w:val="17"/>
          <w:szCs w:val="17"/>
          <w:color w:val="auto"/>
        </w:rPr>
        <w:t>our shareholders holding more than 50% of the voting rights state in writing that they approve the proposed action and would vote in favor of it at a general meeting;</w:t>
      </w:r>
    </w:p>
    <w:p>
      <w:pPr>
        <w:spacing w:after="0" w:line="134" w:lineRule="exact"/>
        <w:rPr>
          <w:rFonts w:ascii="Arial" w:cs="Arial" w:eastAsia="Arial" w:hAnsi="Arial"/>
          <w:sz w:val="17"/>
          <w:szCs w:val="17"/>
          <w:color w:val="auto"/>
        </w:rPr>
      </w:pPr>
    </w:p>
    <w:p>
      <w:pPr>
        <w:ind w:firstLine="621"/>
        <w:spacing w:after="0" w:line="273" w:lineRule="auto"/>
        <w:tabs>
          <w:tab w:leader="none" w:pos="9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action is taken in accordance with a contract entered into prior to the announcement of the offer, or any earlier time at which our Board of Directors considered the offer to be imminent; or</w:t>
      </w:r>
    </w:p>
    <w:p>
      <w:pPr>
        <w:spacing w:after="0" w:line="134" w:lineRule="exact"/>
        <w:rPr>
          <w:rFonts w:ascii="Arial" w:cs="Arial" w:eastAsia="Arial" w:hAnsi="Arial"/>
          <w:sz w:val="17"/>
          <w:szCs w:val="17"/>
          <w:color w:val="auto"/>
        </w:rPr>
      </w:pPr>
    </w:p>
    <w:p>
      <w:pPr>
        <w:ind w:firstLine="621"/>
        <w:spacing w:after="0" w:line="273" w:lineRule="auto"/>
        <w:tabs>
          <w:tab w:leader="none" w:pos="9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decision to take such action was made before the announcement of the offer and either has been at least partially implemented or is in the ordinary course of business.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Shareholders’ Rights Plan</w:t>
      </w:r>
    </w:p>
    <w:p>
      <w:pPr>
        <w:spacing w:after="0" w:line="189"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Irish law does not expressly authorize or prohibit companies from issuing share purchase rights or adopting a shareholder rights plan as an anti-takeover measure. However, there is no directly relevant case law on the validity of such plans under Irish law. In addition, such a plan would be subject to the Irish Takeover Rules and the General Principles underlying the Irish Takeover Rules. The Constitution allows our Board of Directors to adopt a shareholder rights plan upon such terms and conditions as our Board of Directors deems expedient and in the best interests of us, subject to applicable law.</w:t>
      </w:r>
    </w:p>
    <w:p>
      <w:pPr>
        <w:spacing w:after="0" w:line="157"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Subject to the Irish Takeover Rules, our Board of Directors also has power to issue any of our authorized and unissued shares on such terms and conditions as it may determine and any such action should be taken in our best interests. It is possible, however, that the terms and conditions of any issue of preference shares could discourage a takeover or other transaction that holders of some or a majority of the ordinary shares believe to be in their best interests or in which holders might receive a premium for their shares over the then-market price of the shares.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Disclosure of Interests in Shares</w:t>
      </w:r>
    </w:p>
    <w:p>
      <w:pPr>
        <w:spacing w:after="0" w:line="189"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Under the Irish Companies Act, our shareholders must notify us if, as a result of a transaction, the shareholder will become interested in 3% or more of our voting shares, or if as a result of a transaction a shareholder who was interested in 3% or more of our voting shares ceases to be so interested. Where a shareholder is interested in 3% or more of our voting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shareholder is interested as a proportion of the entire nominal value of our issued share capital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of our shares it holds will not be enforceable, either directly or indirectly. However, such person may apply to the court to have the rights attaching to such shares reinstated.</w:t>
      </w:r>
    </w:p>
    <w:p>
      <w:pPr>
        <w:spacing w:after="0" w:line="162"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In addition to these disclosure requirements, we, under the Irish Companies Act, may,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provide additional information, including the person’s own past or present interests in our shares. If the recipient of the notice fails to respond within the reasonable time period specified in the notice, we may apply to the Irish court for an order directing that the affected shares be subject to certain restrictions, as prescribed by the Irish Companies Act, as follows: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ind w:firstLine="621"/>
        <w:spacing w:after="0" w:line="273" w:lineRule="auto"/>
        <w:tabs>
          <w:tab w:leader="none" w:pos="91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transfer of those shares or, in the case of unissued shares, any transfer of the right to be issued with shares and any issue of shares, shall be void;</w:t>
      </w:r>
    </w:p>
    <w:p>
      <w:pPr>
        <w:spacing w:after="0" w:line="134" w:lineRule="exact"/>
        <w:rPr>
          <w:rFonts w:ascii="Arial" w:cs="Arial" w:eastAsia="Arial" w:hAnsi="Arial"/>
          <w:sz w:val="17"/>
          <w:szCs w:val="17"/>
          <w:color w:val="auto"/>
        </w:rPr>
      </w:pPr>
    </w:p>
    <w:p>
      <w:pPr>
        <w:ind w:left="900" w:hanging="279"/>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voting rights shall be exercisable in respect of those shares;</w:t>
      </w:r>
    </w:p>
    <w:p>
      <w:pPr>
        <w:spacing w:after="0" w:line="190" w:lineRule="exact"/>
        <w:rPr>
          <w:rFonts w:ascii="Arial" w:cs="Arial" w:eastAsia="Arial" w:hAnsi="Arial"/>
          <w:sz w:val="17"/>
          <w:szCs w:val="17"/>
          <w:color w:val="auto"/>
        </w:rPr>
      </w:pPr>
    </w:p>
    <w:p>
      <w:pPr>
        <w:ind w:left="940" w:hanging="319"/>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further shares shall be issued in right of those shares or in pursuance of any offer made to the holder of those shares; and</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payment shall be made of any sums due from us on those shares, whether in respect of capital or otherwise.</w:t>
      </w:r>
    </w:p>
    <w:p>
      <w:pPr>
        <w:spacing w:after="0" w:line="191" w:lineRule="exact"/>
        <w:rPr>
          <w:sz w:val="20"/>
          <w:szCs w:val="20"/>
          <w:color w:val="auto"/>
        </w:rPr>
      </w:pPr>
    </w:p>
    <w:p>
      <w:pPr>
        <w:ind w:firstLine="309"/>
        <w:spacing w:after="0" w:line="256" w:lineRule="auto"/>
        <w:rPr>
          <w:sz w:val="20"/>
          <w:szCs w:val="20"/>
          <w:color w:val="auto"/>
        </w:rPr>
      </w:pPr>
      <w:r>
        <w:rPr>
          <w:rFonts w:ascii="Arial" w:cs="Arial" w:eastAsia="Arial" w:hAnsi="Arial"/>
          <w:sz w:val="17"/>
          <w:szCs w:val="17"/>
          <w:color w:val="auto"/>
        </w:rPr>
        <w:t>The court may also order that shares subject to any of these restrictions be sold with the restrictions terminating upon the completion of the sale.</w:t>
      </w:r>
    </w:p>
    <w:p>
      <w:pPr>
        <w:spacing w:after="0" w:line="371" w:lineRule="exact"/>
        <w:rPr>
          <w:sz w:val="20"/>
          <w:szCs w:val="20"/>
          <w:color w:val="auto"/>
        </w:rPr>
      </w:pPr>
    </w:p>
    <w:p>
      <w:pPr>
        <w:ind w:firstLine="309"/>
        <w:spacing w:after="0" w:line="273" w:lineRule="auto"/>
        <w:rPr>
          <w:sz w:val="20"/>
          <w:szCs w:val="20"/>
          <w:color w:val="auto"/>
        </w:rPr>
      </w:pPr>
      <w:r>
        <w:rPr>
          <w:rFonts w:ascii="Arial" w:cs="Arial" w:eastAsia="Arial" w:hAnsi="Arial"/>
          <w:sz w:val="17"/>
          <w:szCs w:val="17"/>
          <w:color w:val="auto"/>
        </w:rPr>
        <w:t>In the event we are in an offer period pursuant to the Irish Takeover Rules, accelerated disclosure provisions apply for persons holding an interest in our securities of 1% or more.</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IRISH LAW AND DELAWARE LAW</w:t>
      </w:r>
    </w:p>
    <w:p>
      <w:pPr>
        <w:spacing w:after="0" w:line="193"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As a public limited company incorporated under the laws of Ireland, the rights of our shareholders are governed by applicable Irish law, including the Irish Companies Act, and not by the law of any U.S. state. As a result, our directors and shareholders are subject to different responsibilities, rights and privileges than are applicable to directors and shareholders of U.S. corporations. The applicable provisions of the Irish Companies Act differ from laws applicable to U.S. corporations and their shareholders. Set forth below is a summary of certain differences between the provisions of the Irish Companies Act applicable to us and the General Corporation Law of the State of Delaware relating to shareholders’ rights and protections. The applicable provisions in respect of the Company under the Constitution is also set out where relevant. This summary is not intended to be a complete discussion of the respective rights and it is qualified in its entirety by reference to Delaware law and Irish law. You are also urged to carefully read the relevant provisions of the Delaware General Corporation Law and the Irish Companies Act for a more complete understanding of the differences between Delaware and Irish law.</w:t>
      </w:r>
    </w:p>
    <w:p>
      <w:pPr>
        <w:sectPr>
          <w:pgSz w:w="11900" w:h="16838" w:orient="portrait"/>
          <w:cols w:equalWidth="0" w:num="1">
            <w:col w:w="11240"/>
          </w:cols>
          <w:pgMar w:left="320" w:top="233" w:right="33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4880" w:type="dxa"/>
            <w:vAlign w:val="bottom"/>
            <w:gridSpan w:val="2"/>
          </w:tcPr>
          <w:p>
            <w:pPr>
              <w:jc w:val="right"/>
              <w:ind w:right="3314"/>
              <w:spacing w:after="0"/>
              <w:rPr>
                <w:sz w:val="20"/>
                <w:szCs w:val="20"/>
                <w:color w:val="auto"/>
              </w:rPr>
            </w:pPr>
            <w:r>
              <w:rPr>
                <w:rFonts w:ascii="Arial" w:cs="Arial" w:eastAsia="Arial" w:hAnsi="Arial"/>
                <w:sz w:val="17"/>
                <w:szCs w:val="17"/>
                <w:b w:val="1"/>
                <w:bCs w:val="1"/>
                <w:color w:val="auto"/>
              </w:rPr>
              <w:t>IRELAND</w:t>
            </w:r>
          </w:p>
        </w:tc>
      </w:tr>
      <w:tr>
        <w:trPr>
          <w:trHeight w:val="272"/>
        </w:trPr>
        <w:tc>
          <w:tcPr>
            <w:tcW w:w="2320" w:type="dxa"/>
            <w:vAlign w:val="bottom"/>
          </w:tcPr>
          <w:p>
            <w:pPr>
              <w:spacing w:after="0"/>
              <w:rPr>
                <w:sz w:val="20"/>
                <w:szCs w:val="20"/>
                <w:color w:val="auto"/>
              </w:rPr>
            </w:pPr>
            <w:r>
              <w:rPr>
                <w:rFonts w:ascii="Arial" w:cs="Arial" w:eastAsia="Arial" w:hAnsi="Arial"/>
                <w:sz w:val="17"/>
                <w:szCs w:val="17"/>
                <w:color w:val="auto"/>
              </w:rPr>
              <w:t>Number of Directors</w:t>
            </w:r>
          </w:p>
        </w:tc>
        <w:tc>
          <w:tcPr>
            <w:tcW w:w="720" w:type="dxa"/>
            <w:vAlign w:val="bottom"/>
          </w:tcPr>
          <w:p>
            <w:pPr>
              <w:spacing w:after="0"/>
              <w:rPr>
                <w:sz w:val="23"/>
                <w:szCs w:val="23"/>
                <w:color w:val="auto"/>
              </w:rPr>
            </w:pPr>
          </w:p>
        </w:tc>
        <w:tc>
          <w:tcPr>
            <w:tcW w:w="41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The Irish Companies Act provides for a minimum of</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two  directors.  The  Constitution  provides  for  a</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minimum of two directors and a maximum of nine.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Our shareholders may from time to time increase or</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reduce  the  maximum  number,  or  increase  the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minimum  number,  of  directors  by  ordinary</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resolution. Our Board of Directors determines the</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number of directors within the range of two to nine.</w:t>
            </w:r>
          </w:p>
        </w:tc>
      </w:tr>
      <w:tr>
        <w:trPr>
          <w:trHeight w:val="457"/>
        </w:trPr>
        <w:tc>
          <w:tcPr>
            <w:tcW w:w="2320" w:type="dxa"/>
            <w:vAlign w:val="bottom"/>
          </w:tcPr>
          <w:p>
            <w:pPr>
              <w:spacing w:after="0"/>
              <w:rPr>
                <w:sz w:val="20"/>
                <w:szCs w:val="20"/>
                <w:color w:val="auto"/>
              </w:rPr>
            </w:pPr>
            <w:r>
              <w:rPr>
                <w:rFonts w:ascii="Arial" w:cs="Arial" w:eastAsia="Arial" w:hAnsi="Arial"/>
                <w:sz w:val="17"/>
                <w:szCs w:val="17"/>
                <w:color w:val="auto"/>
              </w:rPr>
              <w:t>Removal of Directors</w:t>
            </w:r>
          </w:p>
        </w:tc>
        <w:tc>
          <w:tcPr>
            <w:tcW w:w="72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Under the Irish Companies Act, the shareholders</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may, by ordinary resolution, remove a director from</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office before the expiration of his or her term, at a</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meeting held with no less than 28 days’ notice and</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at  which  the  director  is  entitled  to  be  heard.</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Because of this provision of the Irish Companies</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Act, a director may be so removed before the</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expiration of his or her period of office</w:t>
            </w:r>
          </w:p>
        </w:tc>
      </w:tr>
      <w:tr>
        <w:trPr>
          <w:trHeight w:val="354"/>
        </w:trPr>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The power of removal is without prejudice to any</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claim for damages for breach of contract (e.g.,</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employment contract) that the director may have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against  the  Company  in  respect  of  his  or  her</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removal. The Constitution also provides that the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office of a director will also be vacated if the director</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is restricted or disqualified to act as a director under</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the Irish Companies Act; resigns his or her office by</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notice in writing to us or in writing offers to resign</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and the directors resolve to accept such offer; or is</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requested to resign in writing by not less than 75%</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of the other directors.</w:t>
            </w:r>
          </w:p>
        </w:tc>
      </w:tr>
      <w:tr>
        <w:trPr>
          <w:trHeight w:val="348"/>
        </w:trPr>
        <w:tc>
          <w:tcPr>
            <w:tcW w:w="2320" w:type="dxa"/>
            <w:vAlign w:val="bottom"/>
          </w:tcPr>
          <w:p>
            <w:pPr>
              <w:spacing w:after="0"/>
              <w:rPr>
                <w:sz w:val="24"/>
                <w:szCs w:val="24"/>
                <w:color w:val="auto"/>
              </w:rPr>
            </w:pPr>
          </w:p>
        </w:tc>
        <w:tc>
          <w:tcPr>
            <w:tcW w:w="4880" w:type="dxa"/>
            <w:vAlign w:val="bottom"/>
            <w:gridSpan w:val="2"/>
          </w:tcPr>
          <w:p>
            <w:pPr>
              <w:jc w:val="right"/>
              <w:ind w:right="1414"/>
              <w:spacing w:after="0"/>
              <w:rPr>
                <w:sz w:val="20"/>
                <w:szCs w:val="20"/>
                <w:color w:val="auto"/>
              </w:rPr>
            </w:pPr>
            <w:r>
              <w:rPr>
                <w:rFonts w:ascii="Arial" w:cs="Arial" w:eastAsia="Arial" w:hAnsi="Arial"/>
                <w:sz w:val="17"/>
                <w:szCs w:val="17"/>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4364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spacing w:after="0" w:line="96" w:lineRule="exact"/>
        <w:rPr>
          <w:sz w:val="20"/>
          <w:szCs w:val="20"/>
          <w:color w:val="auto"/>
        </w:rPr>
      </w:pPr>
    </w:p>
    <w:p>
      <w:pPr>
        <w:jc w:val="both"/>
        <w:ind w:right="100"/>
        <w:spacing w:after="0" w:line="241" w:lineRule="auto"/>
        <w:rPr>
          <w:sz w:val="20"/>
          <w:szCs w:val="20"/>
          <w:color w:val="auto"/>
        </w:rPr>
      </w:pPr>
      <w:r>
        <w:rPr>
          <w:rFonts w:ascii="Arial" w:cs="Arial" w:eastAsia="Arial" w:hAnsi="Arial"/>
          <w:sz w:val="17"/>
          <w:szCs w:val="17"/>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75"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A typical certificate of incorporation and bylaws provide that, subject to the rights of holders of any preferred shares,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ectPr>
          <w:pgSz w:w="11900" w:h="16838" w:orient="portrait"/>
          <w:cols w:equalWidth="0" w:num="2">
            <w:col w:w="7200" w:space="100"/>
            <w:col w:w="3940"/>
          </w:cols>
          <w:pgMar w:left="320" w:top="23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t>Table of Contents</w:t>
      </w:r>
    </w:p>
    <w:p>
      <w:pPr>
        <w:sectPr>
          <w:pgSz w:w="11900" w:h="16838" w:orient="portrait"/>
          <w:cols w:equalWidth="0" w:num="1">
            <w:col w:w="11140"/>
          </w:cols>
          <w:pgMar w:left="320" w:top="233" w:right="439" w:bottom="1440" w:gutter="0" w:footer="0" w:header="0"/>
        </w:sect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4320" w:type="dxa"/>
            <w:vAlign w:val="bottom"/>
            <w:gridSpan w:val="2"/>
          </w:tcPr>
          <w:p>
            <w:pPr>
              <w:jc w:val="right"/>
              <w:ind w:right="3314"/>
              <w:spacing w:after="0"/>
              <w:rPr>
                <w:sz w:val="20"/>
                <w:szCs w:val="20"/>
                <w:color w:val="auto"/>
              </w:rPr>
            </w:pPr>
            <w:r>
              <w:rPr>
                <w:rFonts w:ascii="Arial" w:cs="Arial" w:eastAsia="Arial" w:hAnsi="Arial"/>
                <w:sz w:val="17"/>
                <w:szCs w:val="17"/>
                <w:b w:val="1"/>
                <w:bCs w:val="1"/>
                <w:color w:val="auto"/>
              </w:rPr>
              <w:t>IRELAND</w:t>
            </w:r>
          </w:p>
        </w:tc>
      </w:tr>
      <w:tr>
        <w:trPr>
          <w:trHeight w:val="272"/>
        </w:trPr>
        <w:tc>
          <w:tcPr>
            <w:tcW w:w="2880" w:type="dxa"/>
            <w:vAlign w:val="bottom"/>
          </w:tcPr>
          <w:p>
            <w:pPr>
              <w:spacing w:after="0"/>
              <w:rPr>
                <w:sz w:val="20"/>
                <w:szCs w:val="20"/>
                <w:color w:val="auto"/>
              </w:rPr>
            </w:pPr>
            <w:r>
              <w:rPr>
                <w:rFonts w:ascii="Arial" w:cs="Arial" w:eastAsia="Arial" w:hAnsi="Arial"/>
                <w:sz w:val="17"/>
                <w:szCs w:val="17"/>
                <w:color w:val="auto"/>
              </w:rPr>
              <w:t>Vacancies on the Board of Directors</w:t>
            </w:r>
          </w:p>
        </w:tc>
        <w:tc>
          <w:tcPr>
            <w:tcW w:w="160" w:type="dxa"/>
            <w:vAlign w:val="bottom"/>
          </w:tcPr>
          <w:p>
            <w:pPr>
              <w:spacing w:after="0"/>
              <w:rPr>
                <w:sz w:val="23"/>
                <w:szCs w:val="23"/>
                <w:color w:val="auto"/>
              </w:rPr>
            </w:pPr>
          </w:p>
        </w:tc>
        <w:tc>
          <w:tcPr>
            <w:tcW w:w="41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Any vacancy on our Board of Directors, including a</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vacancy resulting from an increase in the number of</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directors or from the death, resignation, retirement,</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disqualification or removal of a director, shall be</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deemed a casual vacancy. Any casual vacancy</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shall only be filled by the decision of a majority of</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our Board of Directors then in office, provided that a</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quorum  is  present  and  provided  that  the</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appointment  does  not  cause  the  number  of</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directors to exceed any number fixed by or in</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accordance with the Constitution as the maximum</w:t>
            </w:r>
          </w:p>
        </w:tc>
      </w:tr>
      <w:tr>
        <w:trPr>
          <w:trHeight w:val="225"/>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number of directors.</w:t>
            </w:r>
          </w:p>
        </w:tc>
      </w:tr>
      <w:tr>
        <w:trPr>
          <w:trHeight w:val="354"/>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Any director elected to fill a vacancy resulting from</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an increase in the number of directors shall hold</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office for the remaining term of office. Any director</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elected  to  fill  a  vacancy  not  resulting  from  an</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increase in the number of directors shall have the</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same remaining term as that of his predecessor. A</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director retiring at a meeting shall retain office until</w:t>
            </w:r>
          </w:p>
        </w:tc>
      </w:tr>
      <w:tr>
        <w:trPr>
          <w:trHeight w:val="225"/>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the close or adjournment of the meeting.</w:t>
            </w:r>
          </w:p>
        </w:tc>
      </w:tr>
      <w:tr>
        <w:trPr>
          <w:trHeight w:val="264"/>
        </w:trPr>
        <w:tc>
          <w:tcPr>
            <w:tcW w:w="2880" w:type="dxa"/>
            <w:vAlign w:val="bottom"/>
          </w:tcPr>
          <w:p>
            <w:pPr>
              <w:spacing w:after="0"/>
              <w:rPr>
                <w:sz w:val="20"/>
                <w:szCs w:val="20"/>
                <w:color w:val="auto"/>
              </w:rPr>
            </w:pPr>
            <w:r>
              <w:rPr>
                <w:rFonts w:ascii="Arial" w:cs="Arial" w:eastAsia="Arial" w:hAnsi="Arial"/>
                <w:sz w:val="17"/>
                <w:szCs w:val="17"/>
                <w:color w:val="auto"/>
              </w:rPr>
              <w:t>Annual General Meeting</w:t>
            </w:r>
          </w:p>
        </w:tc>
        <w:tc>
          <w:tcPr>
            <w:tcW w:w="160" w:type="dxa"/>
            <w:vAlign w:val="bottom"/>
          </w:tcPr>
          <w:p>
            <w:pPr>
              <w:spacing w:after="0"/>
              <w:rPr>
                <w:sz w:val="22"/>
                <w:szCs w:val="22"/>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We are required to hold annual general meetings at</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intervals of no more than 15 months after the</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previous annual general meeting, provided that an</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annual general meeting is held in each calendar</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year following our first annual general meeting, no</w:t>
            </w:r>
          </w:p>
        </w:tc>
      </w:tr>
      <w:tr>
        <w:trPr>
          <w:trHeight w:val="225"/>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more than nine months after our fiscal year-end.</w:t>
            </w:r>
          </w:p>
        </w:tc>
      </w:tr>
      <w:tr>
        <w:trPr>
          <w:trHeight w:val="354"/>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The only matters which must, as a matter of Irish</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company law, be transacted at an annual general</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meeting are the consideration of the Irish statutory</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financial statements, the report of the directors, the</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report of the auditors on those statements and that</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report and a review by the members of our affairs. If</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no  resolution  is  made  in  respect  of  the</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reappointment of an auditor at an annual general</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meeting, the previous auditor will be deemed to</w:t>
            </w:r>
          </w:p>
        </w:tc>
      </w:tr>
      <w:tr>
        <w:trPr>
          <w:trHeight w:val="225"/>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have continued in office.</w:t>
            </w:r>
          </w:p>
        </w:tc>
      </w:tr>
      <w:tr>
        <w:trPr>
          <w:trHeight w:val="264"/>
        </w:trPr>
        <w:tc>
          <w:tcPr>
            <w:tcW w:w="2880" w:type="dxa"/>
            <w:vAlign w:val="bottom"/>
          </w:tcPr>
          <w:p>
            <w:pPr>
              <w:spacing w:after="0"/>
              <w:rPr>
                <w:sz w:val="20"/>
                <w:szCs w:val="20"/>
                <w:color w:val="auto"/>
              </w:rPr>
            </w:pPr>
            <w:r>
              <w:rPr>
                <w:rFonts w:ascii="Arial" w:cs="Arial" w:eastAsia="Arial" w:hAnsi="Arial"/>
                <w:sz w:val="17"/>
                <w:szCs w:val="17"/>
                <w:color w:val="auto"/>
              </w:rPr>
              <w:t>General Meeting</w:t>
            </w:r>
          </w:p>
        </w:tc>
        <w:tc>
          <w:tcPr>
            <w:tcW w:w="160" w:type="dxa"/>
            <w:vAlign w:val="bottom"/>
          </w:tcPr>
          <w:p>
            <w:pPr>
              <w:spacing w:after="0"/>
              <w:rPr>
                <w:sz w:val="22"/>
                <w:szCs w:val="22"/>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Our  extraordinary  general  meetings  may  be</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convened by (i) our Board of Directors, (ii) on</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requisition of shareholders holding not less than</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10% of our paid up share capital carrying voting</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rights  or  (iii)  on  requisition  of  our  auditors.</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Extraordinary general meetings are generally held</w:t>
            </w:r>
          </w:p>
        </w:tc>
      </w:tr>
      <w:tr>
        <w:trPr>
          <w:trHeight w:val="193"/>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for  the  purposes  of  approving  shareholder</w:t>
            </w:r>
          </w:p>
        </w:tc>
      </w:tr>
      <w:tr>
        <w:trPr>
          <w:trHeight w:val="225"/>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resolutions as may be required from time to time.</w:t>
            </w:r>
          </w:p>
        </w:tc>
      </w:tr>
      <w:tr>
        <w:trPr>
          <w:trHeight w:val="348"/>
        </w:trPr>
        <w:tc>
          <w:tcPr>
            <w:tcW w:w="2880" w:type="dxa"/>
            <w:vAlign w:val="bottom"/>
          </w:tcPr>
          <w:p>
            <w:pPr>
              <w:spacing w:after="0"/>
              <w:rPr>
                <w:sz w:val="24"/>
                <w:szCs w:val="24"/>
                <w:color w:val="auto"/>
              </w:rPr>
            </w:pPr>
          </w:p>
        </w:tc>
        <w:tc>
          <w:tcPr>
            <w:tcW w:w="4320" w:type="dxa"/>
            <w:vAlign w:val="bottom"/>
            <w:gridSpan w:val="2"/>
          </w:tcPr>
          <w:p>
            <w:pPr>
              <w:jc w:val="right"/>
              <w:ind w:right="1414"/>
              <w:spacing w:after="0"/>
              <w:rPr>
                <w:sz w:val="20"/>
                <w:szCs w:val="20"/>
                <w:color w:val="auto"/>
              </w:rPr>
            </w:pPr>
            <w:r>
              <w:rPr>
                <w:rFonts w:ascii="Arial" w:cs="Arial" w:eastAsia="Arial" w:hAnsi="Arial"/>
                <w:sz w:val="17"/>
                <w:szCs w:val="17"/>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4364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spacing w:after="0" w:line="96" w:lineRule="exact"/>
        <w:rPr>
          <w:sz w:val="20"/>
          <w:szCs w:val="20"/>
          <w:color w:val="auto"/>
        </w:rPr>
      </w:pPr>
    </w:p>
    <w:p>
      <w:pPr>
        <w:jc w:val="both"/>
        <w:spacing w:after="0"/>
        <w:rPr>
          <w:sz w:val="20"/>
          <w:szCs w:val="20"/>
          <w:color w:val="auto"/>
        </w:rPr>
      </w:pPr>
      <w:r>
        <w:rPr>
          <w:rFonts w:ascii="Arial" w:cs="Arial" w:eastAsia="Arial" w:hAnsi="Arial"/>
          <w:sz w:val="17"/>
          <w:szCs w:val="17"/>
          <w:color w:val="auto"/>
        </w:rPr>
        <w:t>A typical certificate of incorporation and bylaws provide that, subject to the rights of the holders of any preferred shares, any vacancy, whether arising through death, resignation, retirement, disqualification, removal, an increase in the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Typical bylaws provide that annual meetings of shareholders are to be held on a date and at a time fixed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Under Delaware law, a special meeting of shareholders may be called by the board of directors or by any other person authorized to do so in the certificate of incorporation or the bylaws.</w:t>
      </w:r>
    </w:p>
    <w:p>
      <w:pPr>
        <w:sectPr>
          <w:pgSz w:w="11900" w:h="16838" w:orient="portrait"/>
          <w:cols w:equalWidth="0" w:num="2">
            <w:col w:w="7200" w:space="100"/>
            <w:col w:w="3840"/>
          </w:cols>
          <w:pgMar w:left="320" w:top="233" w:right="4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If our directors become aware that our net assets</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are half or less of the amount of our called up share</w:t>
      </w:r>
    </w:p>
    <w:p>
      <w:pPr>
        <w:ind w:left="3140"/>
        <w:spacing w:after="0" w:line="237" w:lineRule="auto"/>
        <w:rPr>
          <w:sz w:val="20"/>
          <w:szCs w:val="20"/>
          <w:color w:val="auto"/>
        </w:rPr>
      </w:pPr>
      <w:r>
        <w:rPr>
          <w:rFonts w:ascii="Arial" w:cs="Arial" w:eastAsia="Arial" w:hAnsi="Arial"/>
          <w:sz w:val="17"/>
          <w:szCs w:val="17"/>
          <w:color w:val="auto"/>
        </w:rPr>
        <w:t>capital, our directors must convene an extraordinary</w:t>
      </w:r>
    </w:p>
    <w:p>
      <w:pPr>
        <w:ind w:left="3140"/>
        <w:spacing w:after="0" w:line="237" w:lineRule="auto"/>
        <w:rPr>
          <w:sz w:val="20"/>
          <w:szCs w:val="20"/>
          <w:color w:val="auto"/>
        </w:rPr>
      </w:pPr>
      <w:r>
        <w:rPr>
          <w:rFonts w:ascii="Arial" w:cs="Arial" w:eastAsia="Arial" w:hAnsi="Arial"/>
          <w:sz w:val="17"/>
          <w:szCs w:val="17"/>
          <w:color w:val="auto"/>
        </w:rPr>
        <w:t>general meeting of our shareholders not later than</w:t>
      </w:r>
    </w:p>
    <w:p>
      <w:pPr>
        <w:ind w:left="3140"/>
        <w:spacing w:after="0" w:line="237" w:lineRule="auto"/>
        <w:rPr>
          <w:sz w:val="20"/>
          <w:szCs w:val="20"/>
          <w:color w:val="auto"/>
        </w:rPr>
      </w:pPr>
      <w:r>
        <w:rPr>
          <w:rFonts w:ascii="Arial" w:cs="Arial" w:eastAsia="Arial" w:hAnsi="Arial"/>
          <w:sz w:val="17"/>
          <w:szCs w:val="17"/>
          <w:color w:val="auto"/>
        </w:rPr>
        <w:t>28 days from the date that they learn of this fact.</w:t>
      </w:r>
    </w:p>
    <w:p>
      <w:pPr>
        <w:ind w:left="3140"/>
        <w:spacing w:after="0" w:line="237" w:lineRule="auto"/>
        <w:rPr>
          <w:sz w:val="20"/>
          <w:szCs w:val="20"/>
          <w:color w:val="auto"/>
        </w:rPr>
      </w:pPr>
      <w:r>
        <w:rPr>
          <w:rFonts w:ascii="Arial" w:cs="Arial" w:eastAsia="Arial" w:hAnsi="Arial"/>
          <w:sz w:val="17"/>
          <w:szCs w:val="17"/>
          <w:color w:val="auto"/>
        </w:rPr>
        <w:t>This meeting must be convened for the purposes of</w:t>
      </w:r>
    </w:p>
    <w:p>
      <w:pPr>
        <w:ind w:left="3140"/>
        <w:spacing w:after="0" w:line="237" w:lineRule="auto"/>
        <w:rPr>
          <w:sz w:val="20"/>
          <w:szCs w:val="20"/>
          <w:color w:val="auto"/>
        </w:rPr>
      </w:pPr>
      <w:r>
        <w:rPr>
          <w:rFonts w:ascii="Arial" w:cs="Arial" w:eastAsia="Arial" w:hAnsi="Arial"/>
          <w:sz w:val="17"/>
          <w:szCs w:val="17"/>
          <w:color w:val="auto"/>
        </w:rPr>
        <w:t>considering whether any, and if so what, measures</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should be taken to address the situation.</w:t>
      </w:r>
    </w:p>
    <w:p>
      <w:pPr>
        <w:spacing w:after="0" w:line="85"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Notice of General Meetings</w:t>
      </w:r>
      <w:r>
        <w:rPr>
          <w:sz w:val="20"/>
          <w:szCs w:val="20"/>
          <w:color w:val="auto"/>
        </w:rPr>
        <w:tab/>
      </w:r>
      <w:r>
        <w:rPr>
          <w:rFonts w:ascii="Arial" w:cs="Arial" w:eastAsia="Arial" w:hAnsi="Arial"/>
          <w:sz w:val="17"/>
          <w:szCs w:val="17"/>
          <w:color w:val="auto"/>
        </w:rPr>
        <w:t>Notice of a general meeting must be given to all our</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shareholders and to our auditors. The minimum</w:t>
      </w:r>
    </w:p>
    <w:p>
      <w:pPr>
        <w:ind w:left="3140"/>
        <w:spacing w:after="0" w:line="237" w:lineRule="auto"/>
        <w:rPr>
          <w:sz w:val="20"/>
          <w:szCs w:val="20"/>
          <w:color w:val="auto"/>
        </w:rPr>
      </w:pPr>
      <w:r>
        <w:rPr>
          <w:rFonts w:ascii="Arial" w:cs="Arial" w:eastAsia="Arial" w:hAnsi="Arial"/>
          <w:sz w:val="17"/>
          <w:szCs w:val="17"/>
          <w:color w:val="auto"/>
        </w:rPr>
        <w:t>notice periods are 21 clear days’ notice in writing for</w:t>
      </w:r>
    </w:p>
    <w:p>
      <w:pPr>
        <w:ind w:left="3140"/>
        <w:spacing w:after="0" w:line="237" w:lineRule="auto"/>
        <w:rPr>
          <w:sz w:val="20"/>
          <w:szCs w:val="20"/>
          <w:color w:val="auto"/>
        </w:rPr>
      </w:pPr>
      <w:r>
        <w:rPr>
          <w:rFonts w:ascii="Arial" w:cs="Arial" w:eastAsia="Arial" w:hAnsi="Arial"/>
          <w:sz w:val="17"/>
          <w:szCs w:val="17"/>
          <w:color w:val="auto"/>
        </w:rPr>
        <w:t>an  annual  general  meeting  or  an  extraordinary</w:t>
      </w:r>
    </w:p>
    <w:p>
      <w:pPr>
        <w:jc w:val="right"/>
        <w:spacing w:after="0" w:line="237" w:lineRule="auto"/>
        <w:rPr>
          <w:sz w:val="20"/>
          <w:szCs w:val="20"/>
          <w:color w:val="auto"/>
        </w:rPr>
      </w:pPr>
      <w:r>
        <w:rPr>
          <w:rFonts w:ascii="Arial" w:cs="Arial" w:eastAsia="Arial" w:hAnsi="Arial"/>
          <w:sz w:val="17"/>
          <w:szCs w:val="17"/>
          <w:color w:val="auto"/>
        </w:rPr>
        <w:t>general meeting to approve a special resolution and</w:t>
      </w:r>
    </w:p>
    <w:p>
      <w:pPr>
        <w:ind w:left="3140"/>
        <w:spacing w:after="0" w:line="237" w:lineRule="auto"/>
        <w:rPr>
          <w:sz w:val="20"/>
          <w:szCs w:val="20"/>
          <w:color w:val="auto"/>
        </w:rPr>
      </w:pPr>
      <w:r>
        <w:rPr>
          <w:rFonts w:ascii="Arial" w:cs="Arial" w:eastAsia="Arial" w:hAnsi="Arial"/>
          <w:sz w:val="17"/>
          <w:szCs w:val="17"/>
          <w:color w:val="auto"/>
        </w:rPr>
        <w:t>14  clear  days’  notice  in  writing  for  any  other</w:t>
      </w:r>
    </w:p>
    <w:p>
      <w:pPr>
        <w:ind w:left="3140"/>
        <w:spacing w:after="0" w:line="237" w:lineRule="auto"/>
        <w:rPr>
          <w:sz w:val="20"/>
          <w:szCs w:val="20"/>
          <w:color w:val="auto"/>
        </w:rPr>
      </w:pPr>
      <w:r>
        <w:rPr>
          <w:rFonts w:ascii="Arial" w:cs="Arial" w:eastAsia="Arial" w:hAnsi="Arial"/>
          <w:sz w:val="17"/>
          <w:szCs w:val="17"/>
          <w:color w:val="auto"/>
        </w:rPr>
        <w:t>extraordinary  general  meeting  (if  the  company</w:t>
      </w:r>
    </w:p>
    <w:p>
      <w:pPr>
        <w:ind w:left="3140"/>
        <w:spacing w:after="0" w:line="237" w:lineRule="auto"/>
        <w:rPr>
          <w:sz w:val="20"/>
          <w:szCs w:val="20"/>
          <w:color w:val="auto"/>
        </w:rPr>
      </w:pPr>
      <w:r>
        <w:rPr>
          <w:rFonts w:ascii="Arial" w:cs="Arial" w:eastAsia="Arial" w:hAnsi="Arial"/>
          <w:sz w:val="17"/>
          <w:szCs w:val="17"/>
          <w:color w:val="auto"/>
        </w:rPr>
        <w:t>offers facilities to members to vote by electronic</w:t>
      </w:r>
    </w:p>
    <w:p>
      <w:pPr>
        <w:ind w:left="3140"/>
        <w:spacing w:after="0" w:line="238" w:lineRule="auto"/>
        <w:rPr>
          <w:sz w:val="20"/>
          <w:szCs w:val="20"/>
          <w:color w:val="auto"/>
        </w:rPr>
      </w:pPr>
      <w:r>
        <w:rPr>
          <w:rFonts w:ascii="Arial" w:cs="Arial" w:eastAsia="Arial" w:hAnsi="Arial"/>
          <w:sz w:val="17"/>
          <w:szCs w:val="17"/>
          <w:color w:val="auto"/>
        </w:rPr>
        <w:t>means and shareholders have passed a special</w:t>
      </w:r>
    </w:p>
    <w:p>
      <w:pPr>
        <w:ind w:left="3140"/>
        <w:spacing w:after="0" w:line="237" w:lineRule="auto"/>
        <w:rPr>
          <w:sz w:val="20"/>
          <w:szCs w:val="20"/>
          <w:color w:val="auto"/>
        </w:rPr>
      </w:pPr>
      <w:r>
        <w:rPr>
          <w:rFonts w:ascii="Arial" w:cs="Arial" w:eastAsia="Arial" w:hAnsi="Arial"/>
          <w:sz w:val="17"/>
          <w:szCs w:val="17"/>
          <w:color w:val="auto"/>
        </w:rPr>
        <w:t>resolution at the immediately preceding general</w:t>
      </w:r>
    </w:p>
    <w:p>
      <w:pPr>
        <w:ind w:left="3140"/>
        <w:spacing w:after="0" w:line="237" w:lineRule="auto"/>
        <w:rPr>
          <w:sz w:val="20"/>
          <w:szCs w:val="20"/>
          <w:color w:val="auto"/>
        </w:rPr>
      </w:pPr>
      <w:r>
        <w:rPr>
          <w:rFonts w:ascii="Arial" w:cs="Arial" w:eastAsia="Arial" w:hAnsi="Arial"/>
          <w:sz w:val="17"/>
          <w:szCs w:val="17"/>
          <w:color w:val="auto"/>
        </w:rPr>
        <w:t>meeting approving such shortened notice period).</w:t>
      </w:r>
    </w:p>
    <w:p>
      <w:pPr>
        <w:ind w:left="3140"/>
        <w:spacing w:after="0" w:line="237" w:lineRule="auto"/>
        <w:rPr>
          <w:sz w:val="20"/>
          <w:szCs w:val="20"/>
          <w:color w:val="auto"/>
        </w:rPr>
      </w:pPr>
      <w:r>
        <w:rPr>
          <w:rFonts w:ascii="Arial" w:cs="Arial" w:eastAsia="Arial" w:hAnsi="Arial"/>
          <w:sz w:val="17"/>
          <w:szCs w:val="17"/>
          <w:color w:val="auto"/>
        </w:rPr>
        <w:t>General meetings may be called by shorter notice,</w:t>
      </w:r>
    </w:p>
    <w:p>
      <w:pPr>
        <w:ind w:left="3140"/>
        <w:spacing w:after="0" w:line="237" w:lineRule="auto"/>
        <w:rPr>
          <w:sz w:val="20"/>
          <w:szCs w:val="20"/>
          <w:color w:val="auto"/>
        </w:rPr>
      </w:pPr>
      <w:r>
        <w:rPr>
          <w:rFonts w:ascii="Arial" w:cs="Arial" w:eastAsia="Arial" w:hAnsi="Arial"/>
          <w:sz w:val="17"/>
          <w:szCs w:val="17"/>
          <w:color w:val="auto"/>
        </w:rPr>
        <w:t>but only with the consent of our auditors and all of</w:t>
      </w:r>
    </w:p>
    <w:p>
      <w:pPr>
        <w:jc w:val="right"/>
        <w:spacing w:after="0" w:line="237" w:lineRule="auto"/>
        <w:rPr>
          <w:sz w:val="20"/>
          <w:szCs w:val="20"/>
          <w:color w:val="auto"/>
        </w:rPr>
      </w:pPr>
      <w:r>
        <w:rPr>
          <w:rFonts w:ascii="Arial" w:cs="Arial" w:eastAsia="Arial" w:hAnsi="Arial"/>
          <w:sz w:val="17"/>
          <w:szCs w:val="17"/>
          <w:color w:val="auto"/>
        </w:rPr>
        <w:t>our shareholders entitled to attend and vote thereat.</w:t>
      </w:r>
    </w:p>
    <w:p>
      <w:pPr>
        <w:ind w:left="3140"/>
        <w:spacing w:after="0" w:line="238" w:lineRule="auto"/>
        <w:rPr>
          <w:sz w:val="20"/>
          <w:szCs w:val="20"/>
          <w:color w:val="auto"/>
        </w:rPr>
      </w:pPr>
      <w:r>
        <w:rPr>
          <w:rFonts w:ascii="Arial" w:cs="Arial" w:eastAsia="Arial" w:hAnsi="Arial"/>
          <w:sz w:val="17"/>
          <w:szCs w:val="17"/>
          <w:color w:val="auto"/>
        </w:rPr>
        <w:t>Because  of  the  21-clear  day  and  14-clear  day</w:t>
      </w:r>
    </w:p>
    <w:p>
      <w:pPr>
        <w:ind w:left="3140"/>
        <w:spacing w:after="0" w:line="237" w:lineRule="auto"/>
        <w:tabs>
          <w:tab w:leader="none" w:pos="4280" w:val="left"/>
          <w:tab w:leader="none" w:pos="5160" w:val="left"/>
          <w:tab w:leader="none" w:pos="5440" w:val="left"/>
          <w:tab w:leader="none" w:pos="5860" w:val="left"/>
          <w:tab w:leader="none" w:pos="6820" w:val="left"/>
        </w:tabs>
        <w:rPr>
          <w:sz w:val="20"/>
          <w:szCs w:val="20"/>
          <w:color w:val="auto"/>
        </w:rPr>
      </w:pPr>
      <w:r>
        <w:rPr>
          <w:rFonts w:ascii="Arial" w:cs="Arial" w:eastAsia="Arial" w:hAnsi="Arial"/>
          <w:sz w:val="17"/>
          <w:szCs w:val="17"/>
          <w:color w:val="auto"/>
        </w:rPr>
        <w:t>requirements</w:t>
        <w:tab/>
        <w:t>described</w:t>
        <w:tab/>
        <w:t>in</w:t>
        <w:tab/>
        <w:t>this</w:t>
        <w:tab/>
        <w:t>paragraph,</w:t>
        <w:tab/>
        <w:t>the</w:t>
      </w:r>
    </w:p>
    <w:p>
      <w:pPr>
        <w:ind w:left="3140"/>
        <w:spacing w:after="0" w:line="237" w:lineRule="auto"/>
        <w:rPr>
          <w:sz w:val="20"/>
          <w:szCs w:val="20"/>
          <w:color w:val="auto"/>
        </w:rPr>
      </w:pPr>
      <w:r>
        <w:rPr>
          <w:rFonts w:ascii="Arial" w:cs="Arial" w:eastAsia="Arial" w:hAnsi="Arial"/>
          <w:sz w:val="17"/>
          <w:szCs w:val="17"/>
          <w:color w:val="auto"/>
        </w:rPr>
        <w:t>Constitution  includes  provisions  reflecting  these</w:t>
      </w:r>
    </w:p>
    <w:p>
      <w:pPr>
        <w:ind w:left="3140"/>
        <w:spacing w:after="0"/>
        <w:rPr>
          <w:sz w:val="20"/>
          <w:szCs w:val="20"/>
          <w:color w:val="auto"/>
        </w:rPr>
      </w:pPr>
      <w:r>
        <w:rPr>
          <w:rFonts w:ascii="Arial" w:cs="Arial" w:eastAsia="Arial" w:hAnsi="Arial"/>
          <w:sz w:val="17"/>
          <w:szCs w:val="17"/>
          <w:color w:val="auto"/>
        </w:rPr>
        <w:t>requirements of Irish law.</w:t>
      </w:r>
    </w:p>
    <w:p>
      <w:pPr>
        <w:spacing w:after="0" w:line="175"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In the case of an extraordinary general meeting</w:t>
      </w:r>
    </w:p>
    <w:p>
      <w:pPr>
        <w:spacing w:after="0" w:line="11" w:lineRule="exact"/>
        <w:rPr>
          <w:sz w:val="20"/>
          <w:szCs w:val="20"/>
          <w:color w:val="auto"/>
        </w:rPr>
      </w:pPr>
    </w:p>
    <w:p>
      <w:pPr>
        <w:ind w:left="3140"/>
        <w:spacing w:after="0"/>
        <w:tabs>
          <w:tab w:leader="none" w:pos="4020" w:val="left"/>
          <w:tab w:leader="none" w:pos="4360" w:val="left"/>
          <w:tab w:leader="none" w:pos="4760" w:val="left"/>
          <w:tab w:leader="none" w:pos="5960" w:val="left"/>
          <w:tab w:leader="none" w:pos="6360" w:val="left"/>
        </w:tabs>
        <w:rPr>
          <w:sz w:val="20"/>
          <w:szCs w:val="20"/>
          <w:color w:val="auto"/>
        </w:rPr>
      </w:pPr>
      <w:r>
        <w:rPr>
          <w:rFonts w:ascii="Arial" w:cs="Arial" w:eastAsia="Arial" w:hAnsi="Arial"/>
          <w:sz w:val="17"/>
          <w:szCs w:val="17"/>
          <w:color w:val="auto"/>
        </w:rPr>
        <w:t>convened</w:t>
        <w:tab/>
        <w:t>by</w:t>
        <w:tab/>
        <w:t>our</w:t>
        <w:tab/>
        <w:t>shareholders,</w:t>
        <w:tab/>
        <w:t>the</w:t>
        <w:tab/>
        <w:t>proposed</w:t>
      </w:r>
    </w:p>
    <w:p>
      <w:pPr>
        <w:ind w:left="3140"/>
        <w:spacing w:after="0" w:line="237" w:lineRule="auto"/>
        <w:rPr>
          <w:sz w:val="20"/>
          <w:szCs w:val="20"/>
          <w:color w:val="auto"/>
        </w:rPr>
      </w:pPr>
      <w:r>
        <w:rPr>
          <w:rFonts w:ascii="Arial" w:cs="Arial" w:eastAsia="Arial" w:hAnsi="Arial"/>
          <w:sz w:val="17"/>
          <w:szCs w:val="17"/>
          <w:color w:val="auto"/>
        </w:rPr>
        <w:t>purpose of the meeting must be set out in the</w:t>
      </w:r>
    </w:p>
    <w:p>
      <w:pPr>
        <w:ind w:left="3140"/>
        <w:spacing w:after="0" w:line="237" w:lineRule="auto"/>
        <w:rPr>
          <w:sz w:val="20"/>
          <w:szCs w:val="20"/>
          <w:color w:val="auto"/>
        </w:rPr>
      </w:pPr>
      <w:r>
        <w:rPr>
          <w:rFonts w:ascii="Arial" w:cs="Arial" w:eastAsia="Arial" w:hAnsi="Arial"/>
          <w:sz w:val="17"/>
          <w:szCs w:val="17"/>
          <w:color w:val="auto"/>
        </w:rPr>
        <w:t>requisition notice. Upon receipt of this requisition</w:t>
      </w:r>
    </w:p>
    <w:p>
      <w:pPr>
        <w:ind w:left="3140"/>
        <w:spacing w:after="0" w:line="237" w:lineRule="auto"/>
        <w:rPr>
          <w:sz w:val="20"/>
          <w:szCs w:val="20"/>
          <w:color w:val="auto"/>
        </w:rPr>
      </w:pPr>
      <w:r>
        <w:rPr>
          <w:rFonts w:ascii="Arial" w:cs="Arial" w:eastAsia="Arial" w:hAnsi="Arial"/>
          <w:sz w:val="17"/>
          <w:szCs w:val="17"/>
          <w:color w:val="auto"/>
        </w:rPr>
        <w:t>notice,  our  Board  of  Directors  has  21  days  to</w:t>
      </w:r>
    </w:p>
    <w:p>
      <w:pPr>
        <w:ind w:left="3140"/>
        <w:spacing w:after="0" w:line="237" w:lineRule="auto"/>
        <w:rPr>
          <w:sz w:val="20"/>
          <w:szCs w:val="20"/>
          <w:color w:val="auto"/>
        </w:rPr>
      </w:pPr>
      <w:r>
        <w:rPr>
          <w:rFonts w:ascii="Arial" w:cs="Arial" w:eastAsia="Arial" w:hAnsi="Arial"/>
          <w:sz w:val="17"/>
          <w:szCs w:val="17"/>
          <w:color w:val="auto"/>
        </w:rPr>
        <w:t>convene a meeting of our shareholders to vote on</w:t>
      </w:r>
    </w:p>
    <w:p>
      <w:pPr>
        <w:ind w:left="3140"/>
        <w:spacing w:after="0" w:line="237" w:lineRule="auto"/>
        <w:rPr>
          <w:sz w:val="20"/>
          <w:szCs w:val="20"/>
          <w:color w:val="auto"/>
        </w:rPr>
      </w:pPr>
      <w:r>
        <w:rPr>
          <w:rFonts w:ascii="Arial" w:cs="Arial" w:eastAsia="Arial" w:hAnsi="Arial"/>
          <w:sz w:val="17"/>
          <w:szCs w:val="17"/>
          <w:color w:val="auto"/>
        </w:rPr>
        <w:t>the matters set out in the requisition notice. This</w:t>
      </w:r>
    </w:p>
    <w:p>
      <w:pPr>
        <w:ind w:left="3140"/>
        <w:spacing w:after="0" w:line="237" w:lineRule="auto"/>
        <w:rPr>
          <w:sz w:val="20"/>
          <w:szCs w:val="20"/>
          <w:color w:val="auto"/>
        </w:rPr>
      </w:pPr>
      <w:r>
        <w:rPr>
          <w:rFonts w:ascii="Arial" w:cs="Arial" w:eastAsia="Arial" w:hAnsi="Arial"/>
          <w:sz w:val="17"/>
          <w:szCs w:val="17"/>
          <w:color w:val="auto"/>
        </w:rPr>
        <w:t>meeting must be held within two months of the</w:t>
      </w:r>
    </w:p>
    <w:p>
      <w:pPr>
        <w:ind w:left="3140"/>
        <w:spacing w:after="0" w:line="238" w:lineRule="auto"/>
        <w:rPr>
          <w:sz w:val="20"/>
          <w:szCs w:val="20"/>
          <w:color w:val="auto"/>
        </w:rPr>
      </w:pPr>
      <w:r>
        <w:rPr>
          <w:rFonts w:ascii="Arial" w:cs="Arial" w:eastAsia="Arial" w:hAnsi="Arial"/>
          <w:sz w:val="17"/>
          <w:szCs w:val="17"/>
          <w:color w:val="auto"/>
        </w:rPr>
        <w:t>receipt of the requisition notice. If our Board of</w:t>
      </w:r>
    </w:p>
    <w:p>
      <w:pPr>
        <w:ind w:left="3140"/>
        <w:spacing w:after="0" w:line="237" w:lineRule="auto"/>
        <w:rPr>
          <w:sz w:val="20"/>
          <w:szCs w:val="20"/>
          <w:color w:val="auto"/>
        </w:rPr>
      </w:pPr>
      <w:r>
        <w:rPr>
          <w:rFonts w:ascii="Arial" w:cs="Arial" w:eastAsia="Arial" w:hAnsi="Arial"/>
          <w:sz w:val="17"/>
          <w:szCs w:val="17"/>
          <w:color w:val="auto"/>
        </w:rPr>
        <w:t>Directors does not convene the meeting within such</w:t>
      </w:r>
    </w:p>
    <w:p>
      <w:pPr>
        <w:ind w:left="3140"/>
        <w:spacing w:after="0" w:line="237" w:lineRule="auto"/>
        <w:rPr>
          <w:sz w:val="20"/>
          <w:szCs w:val="20"/>
          <w:color w:val="auto"/>
        </w:rPr>
      </w:pPr>
      <w:r>
        <w:rPr>
          <w:rFonts w:ascii="Arial" w:cs="Arial" w:eastAsia="Arial" w:hAnsi="Arial"/>
          <w:sz w:val="17"/>
          <w:szCs w:val="17"/>
          <w:color w:val="auto"/>
        </w:rPr>
        <w:t>21-day period, the requisitioning shareholders, or</w:t>
      </w:r>
    </w:p>
    <w:p>
      <w:pPr>
        <w:ind w:left="3140"/>
        <w:spacing w:after="0" w:line="237" w:lineRule="auto"/>
        <w:rPr>
          <w:sz w:val="20"/>
          <w:szCs w:val="20"/>
          <w:color w:val="auto"/>
        </w:rPr>
      </w:pPr>
      <w:r>
        <w:rPr>
          <w:rFonts w:ascii="Arial" w:cs="Arial" w:eastAsia="Arial" w:hAnsi="Arial"/>
          <w:sz w:val="17"/>
          <w:szCs w:val="17"/>
          <w:color w:val="auto"/>
        </w:rPr>
        <w:t>any of them representing more than one-half of the</w:t>
      </w:r>
    </w:p>
    <w:p>
      <w:pPr>
        <w:ind w:left="3140"/>
        <w:spacing w:after="0" w:line="237" w:lineRule="auto"/>
        <w:rPr>
          <w:sz w:val="20"/>
          <w:szCs w:val="20"/>
          <w:color w:val="auto"/>
        </w:rPr>
      </w:pPr>
      <w:r>
        <w:rPr>
          <w:rFonts w:ascii="Arial" w:cs="Arial" w:eastAsia="Arial" w:hAnsi="Arial"/>
          <w:sz w:val="17"/>
          <w:szCs w:val="17"/>
          <w:color w:val="auto"/>
        </w:rPr>
        <w:t>total voting rights of all of them, may themselves</w:t>
      </w:r>
    </w:p>
    <w:p>
      <w:pPr>
        <w:ind w:left="3140"/>
        <w:spacing w:after="0" w:line="237" w:lineRule="auto"/>
        <w:rPr>
          <w:sz w:val="20"/>
          <w:szCs w:val="20"/>
          <w:color w:val="auto"/>
        </w:rPr>
      </w:pPr>
      <w:r>
        <w:rPr>
          <w:rFonts w:ascii="Arial" w:cs="Arial" w:eastAsia="Arial" w:hAnsi="Arial"/>
          <w:sz w:val="17"/>
          <w:szCs w:val="17"/>
          <w:color w:val="auto"/>
        </w:rPr>
        <w:t>convene a meeting, which meeting must be held</w:t>
      </w:r>
    </w:p>
    <w:p>
      <w:pPr>
        <w:ind w:left="3140"/>
        <w:spacing w:after="0" w:line="238" w:lineRule="auto"/>
        <w:rPr>
          <w:sz w:val="20"/>
          <w:szCs w:val="20"/>
          <w:color w:val="auto"/>
        </w:rPr>
      </w:pPr>
      <w:r>
        <w:rPr>
          <w:rFonts w:ascii="Arial" w:cs="Arial" w:eastAsia="Arial" w:hAnsi="Arial"/>
          <w:sz w:val="17"/>
          <w:szCs w:val="17"/>
          <w:color w:val="auto"/>
        </w:rPr>
        <w:t>within three months of the receipt of the requisition</w:t>
      </w:r>
    </w:p>
    <w:p>
      <w:pPr>
        <w:ind w:left="3140"/>
        <w:spacing w:after="0"/>
        <w:rPr>
          <w:sz w:val="20"/>
          <w:szCs w:val="20"/>
          <w:color w:val="auto"/>
        </w:rPr>
      </w:pPr>
      <w:r>
        <w:rPr>
          <w:rFonts w:ascii="Arial" w:cs="Arial" w:eastAsia="Arial" w:hAnsi="Arial"/>
          <w:sz w:val="17"/>
          <w:szCs w:val="17"/>
          <w:color w:val="auto"/>
        </w:rPr>
        <w:t>notice.</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ectPr>
          <w:pgSz w:w="11900" w:h="16838" w:orient="portrait"/>
          <w:cols w:equalWidth="0" w:num="2">
            <w:col w:w="7100" w:space="200"/>
            <w:col w:w="3840"/>
          </w:cols>
          <w:pgMar w:left="320" w:top="233" w:right="4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EE"/>
        </w:rPr>
        <w:t>Table of Contents</w:t>
      </w:r>
    </w:p>
    <w:p>
      <w:pPr>
        <w:sectPr>
          <w:pgSz w:w="11900" w:h="16838" w:orient="portrait"/>
          <w:cols w:equalWidth="0" w:num="1">
            <w:col w:w="11140"/>
          </w:cols>
          <w:pgMar w:left="320" w:top="233" w:right="439" w:bottom="1440" w:gutter="0" w:footer="0" w:header="0"/>
        </w:sect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4880" w:type="dxa"/>
            <w:vAlign w:val="bottom"/>
            <w:gridSpan w:val="2"/>
          </w:tcPr>
          <w:p>
            <w:pPr>
              <w:jc w:val="right"/>
              <w:ind w:right="3314"/>
              <w:spacing w:after="0"/>
              <w:rPr>
                <w:sz w:val="20"/>
                <w:szCs w:val="20"/>
                <w:color w:val="auto"/>
              </w:rPr>
            </w:pPr>
            <w:r>
              <w:rPr>
                <w:rFonts w:ascii="Arial" w:cs="Arial" w:eastAsia="Arial" w:hAnsi="Arial"/>
                <w:sz w:val="17"/>
                <w:szCs w:val="17"/>
                <w:b w:val="1"/>
                <w:bCs w:val="1"/>
                <w:color w:val="auto"/>
              </w:rPr>
              <w:t>IRELAND</w:t>
            </w:r>
          </w:p>
        </w:tc>
      </w:tr>
      <w:tr>
        <w:trPr>
          <w:trHeight w:val="272"/>
        </w:trPr>
        <w:tc>
          <w:tcPr>
            <w:tcW w:w="2320" w:type="dxa"/>
            <w:vAlign w:val="bottom"/>
          </w:tcPr>
          <w:p>
            <w:pPr>
              <w:spacing w:after="0"/>
              <w:rPr>
                <w:sz w:val="20"/>
                <w:szCs w:val="20"/>
                <w:color w:val="auto"/>
              </w:rPr>
            </w:pPr>
            <w:r>
              <w:rPr>
                <w:rFonts w:ascii="Arial" w:cs="Arial" w:eastAsia="Arial" w:hAnsi="Arial"/>
                <w:sz w:val="17"/>
                <w:szCs w:val="17"/>
                <w:color w:val="auto"/>
              </w:rPr>
              <w:t>Quorum</w:t>
            </w:r>
          </w:p>
        </w:tc>
        <w:tc>
          <w:tcPr>
            <w:tcW w:w="720" w:type="dxa"/>
            <w:vAlign w:val="bottom"/>
          </w:tcPr>
          <w:p>
            <w:pPr>
              <w:spacing w:after="0"/>
              <w:rPr>
                <w:sz w:val="23"/>
                <w:szCs w:val="23"/>
                <w:color w:val="auto"/>
              </w:rPr>
            </w:pPr>
          </w:p>
        </w:tc>
        <w:tc>
          <w:tcPr>
            <w:tcW w:w="41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The presence, in person or by proxy, of one or more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persons holding or representing by proxy at least</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25% of the votes that may be cast at the relevant</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time  constitutes  a  quorum  for  the  conduct  of</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business at a general meeting. No business may</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take place at a general meeting if a quorum is not</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present  in  person  or  by  proxy.  Our  Board  of</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Directors  has  no  authority  to  waive  quorum</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requirements   stipulated   in   the   Constitution.</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Abstentions and broker non-votes will be counted</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as present for purposes of determining whether</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there is a quorum in respect of the proposals</w:t>
            </w:r>
          </w:p>
        </w:tc>
      </w:tr>
      <w:tr>
        <w:trPr>
          <w:trHeight w:val="264"/>
        </w:trPr>
        <w:tc>
          <w:tcPr>
            <w:tcW w:w="2320" w:type="dxa"/>
            <w:vAlign w:val="bottom"/>
          </w:tcPr>
          <w:p>
            <w:pPr>
              <w:spacing w:after="0"/>
              <w:rPr>
                <w:sz w:val="20"/>
                <w:szCs w:val="20"/>
                <w:color w:val="auto"/>
              </w:rPr>
            </w:pPr>
            <w:r>
              <w:rPr>
                <w:rFonts w:ascii="Arial" w:cs="Arial" w:eastAsia="Arial" w:hAnsi="Arial"/>
                <w:sz w:val="17"/>
                <w:szCs w:val="17"/>
                <w:color w:val="auto"/>
              </w:rPr>
              <w:t>Proxy</w:t>
            </w:r>
          </w:p>
        </w:tc>
        <w:tc>
          <w:tcPr>
            <w:tcW w:w="720" w:type="dxa"/>
            <w:vAlign w:val="bottom"/>
          </w:tcPr>
          <w:p>
            <w:pPr>
              <w:spacing w:after="0"/>
              <w:rPr>
                <w:sz w:val="22"/>
                <w:szCs w:val="22"/>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Under  Irish  law,  a  shareholder  may  designate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another person to attend, speak and vote at a</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general meeting of the company on their behalf by</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proxy, which proxy need not be a shareholder.</w:t>
            </w:r>
          </w:p>
        </w:tc>
      </w:tr>
      <w:tr>
        <w:trPr>
          <w:trHeight w:val="354"/>
        </w:trPr>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Where interests in shares are held by a nominee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trust  company,  this  company  may  exercise  the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rights of the beneficial holders on their behalf as</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their proxy.</w:t>
            </w:r>
          </w:p>
        </w:tc>
      </w:tr>
      <w:tr>
        <w:trPr>
          <w:trHeight w:val="354"/>
        </w:trPr>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Voting rights may be exercised by shareholders</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registered in the share register as of the record date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for the meeting or by a duly appointed proxy of such</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 registered shareholder, which proxy need not be a</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shareholder. Where interests in shares are held by</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  nominee  trust  company,  this  company  may</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exercise the rights of the beneficial holders on their</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behalf as their proxy. All proxies must be appointed</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in   accordance   with   the   Constitution.   The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Constitution permits the appointment of proxies by</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our shareholders to be notified to us electronically,</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when permitted by our directors.</w:t>
            </w:r>
          </w:p>
        </w:tc>
      </w:tr>
      <w:tr>
        <w:trPr>
          <w:trHeight w:val="264"/>
        </w:trPr>
        <w:tc>
          <w:tcPr>
            <w:tcW w:w="2320" w:type="dxa"/>
            <w:vAlign w:val="bottom"/>
          </w:tcPr>
          <w:p>
            <w:pPr>
              <w:spacing w:after="0"/>
              <w:rPr>
                <w:sz w:val="20"/>
                <w:szCs w:val="20"/>
                <w:color w:val="auto"/>
              </w:rPr>
            </w:pPr>
            <w:r>
              <w:rPr>
                <w:rFonts w:ascii="Arial" w:cs="Arial" w:eastAsia="Arial" w:hAnsi="Arial"/>
                <w:sz w:val="17"/>
                <w:szCs w:val="17"/>
                <w:color w:val="auto"/>
              </w:rPr>
              <w:t>Issue of New Shares</w:t>
            </w:r>
          </w:p>
        </w:tc>
        <w:tc>
          <w:tcPr>
            <w:tcW w:w="720" w:type="dxa"/>
            <w:vAlign w:val="bottom"/>
          </w:tcPr>
          <w:p>
            <w:pPr>
              <w:spacing w:after="0"/>
              <w:rPr>
                <w:sz w:val="22"/>
                <w:szCs w:val="22"/>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Under  the  Constitution,  we  may  issue  shares</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subject to the maximum authorized share capital</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contained in the Constitution. The authorized share</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capital may be increased or reduced by a resolution</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approved by a simple majority of the votes cast at a</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general meeting of our shareholders, referred to</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under Irish law as an “ordinary resolution.” As a</w:t>
            </w:r>
          </w:p>
        </w:tc>
      </w:tr>
      <w:tr>
        <w:trPr>
          <w:trHeight w:val="193"/>
        </w:trPr>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matter of Irish law, the directors of a company may</w:t>
            </w:r>
          </w:p>
        </w:tc>
      </w:tr>
      <w:tr>
        <w:trPr>
          <w:trHeight w:val="225"/>
        </w:trPr>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issue new ordinary shares without shareholder</w:t>
            </w:r>
          </w:p>
        </w:tc>
      </w:tr>
      <w:tr>
        <w:trPr>
          <w:trHeight w:val="348"/>
        </w:trPr>
        <w:tc>
          <w:tcPr>
            <w:tcW w:w="2320" w:type="dxa"/>
            <w:vAlign w:val="bottom"/>
          </w:tcPr>
          <w:p>
            <w:pPr>
              <w:spacing w:after="0"/>
              <w:rPr>
                <w:sz w:val="24"/>
                <w:szCs w:val="24"/>
                <w:color w:val="auto"/>
              </w:rPr>
            </w:pPr>
          </w:p>
        </w:tc>
        <w:tc>
          <w:tcPr>
            <w:tcW w:w="4880" w:type="dxa"/>
            <w:vAlign w:val="bottom"/>
            <w:gridSpan w:val="2"/>
          </w:tcPr>
          <w:p>
            <w:pPr>
              <w:jc w:val="right"/>
              <w:ind w:right="1414"/>
              <w:spacing w:after="0"/>
              <w:rPr>
                <w:sz w:val="20"/>
                <w:szCs w:val="20"/>
                <w:color w:val="auto"/>
              </w:rPr>
            </w:pPr>
            <w:r>
              <w:rPr>
                <w:rFonts w:ascii="Arial" w:cs="Arial" w:eastAsia="Arial" w:hAnsi="Arial"/>
                <w:sz w:val="17"/>
                <w:szCs w:val="17"/>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4364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Under Delaware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ectPr>
          <w:pgSz w:w="11900" w:h="16838" w:orient="portrait"/>
          <w:cols w:equalWidth="0" w:num="2">
            <w:col w:w="7200" w:space="100"/>
            <w:col w:w="3840"/>
          </w:cols>
          <w:pgMar w:left="320" w:top="233" w:right="4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approval once authorized to do so by its constitution</w:t>
      </w:r>
    </w:p>
    <w:p>
      <w:pPr>
        <w:spacing w:after="0" w:line="11" w:lineRule="exact"/>
        <w:rPr>
          <w:sz w:val="20"/>
          <w:szCs w:val="20"/>
          <w:color w:val="auto"/>
        </w:rPr>
      </w:pPr>
    </w:p>
    <w:p>
      <w:pPr>
        <w:ind w:left="3140"/>
        <w:spacing w:after="0"/>
        <w:tabs>
          <w:tab w:leader="none" w:pos="3440" w:val="left"/>
          <w:tab w:leader="none" w:pos="3760" w:val="left"/>
          <w:tab w:leader="none" w:pos="4120" w:val="left"/>
          <w:tab w:leader="none" w:pos="4880" w:val="left"/>
          <w:tab w:leader="none" w:pos="5780" w:val="left"/>
          <w:tab w:leader="none" w:pos="6560" w:val="left"/>
          <w:tab w:leader="none" w:pos="6900" w:val="left"/>
        </w:tabs>
        <w:rPr>
          <w:sz w:val="20"/>
          <w:szCs w:val="20"/>
          <w:color w:val="auto"/>
        </w:rPr>
      </w:pPr>
      <w:r>
        <w:rPr>
          <w:rFonts w:ascii="Arial" w:cs="Arial" w:eastAsia="Arial" w:hAnsi="Arial"/>
          <w:sz w:val="17"/>
          <w:szCs w:val="17"/>
          <w:color w:val="auto"/>
        </w:rPr>
        <w:t>or</w:t>
        <w:tab/>
        <w:t>by</w:t>
        <w:tab/>
        <w:t>an</w:t>
        <w:tab/>
        <w:t>ordinary</w:t>
        <w:tab/>
        <w:t>resolution</w:t>
        <w:tab/>
        <w:t>adopted</w:t>
        <w:tab/>
        <w:t>by</w:t>
      </w:r>
      <w:r>
        <w:rPr>
          <w:sz w:val="20"/>
          <w:szCs w:val="20"/>
          <w:color w:val="auto"/>
        </w:rPr>
        <w:tab/>
      </w:r>
      <w:r>
        <w:rPr>
          <w:rFonts w:ascii="Arial" w:cs="Arial" w:eastAsia="Arial" w:hAnsi="Arial"/>
          <w:sz w:val="16"/>
          <w:szCs w:val="16"/>
          <w:color w:val="auto"/>
        </w:rPr>
        <w:t>its</w:t>
      </w:r>
    </w:p>
    <w:p>
      <w:pPr>
        <w:ind w:left="3140"/>
        <w:spacing w:after="0" w:line="237" w:lineRule="auto"/>
        <w:tabs>
          <w:tab w:leader="none" w:pos="4360" w:val="left"/>
          <w:tab w:leader="none" w:pos="4740" w:val="left"/>
          <w:tab w:leader="none" w:pos="5080" w:val="left"/>
          <w:tab w:leader="none" w:pos="5880" w:val="left"/>
          <w:tab w:leader="none" w:pos="6780" w:val="left"/>
        </w:tabs>
        <w:rPr>
          <w:sz w:val="20"/>
          <w:szCs w:val="20"/>
          <w:color w:val="auto"/>
        </w:rPr>
      </w:pPr>
      <w:r>
        <w:rPr>
          <w:rFonts w:ascii="Arial" w:cs="Arial" w:eastAsia="Arial" w:hAnsi="Arial"/>
          <w:sz w:val="17"/>
          <w:szCs w:val="17"/>
          <w:color w:val="auto"/>
        </w:rPr>
        <w:t>shareholders</w:t>
        <w:tab/>
        <w:t>at</w:t>
        <w:tab/>
        <w:t>a</w:t>
        <w:tab/>
        <w:t>general</w:t>
        <w:tab/>
        <w:t>meeting.</w:t>
        <w:tab/>
        <w:t>The</w:t>
      </w:r>
    </w:p>
    <w:p>
      <w:pPr>
        <w:ind w:left="3140"/>
        <w:spacing w:after="0" w:line="237" w:lineRule="auto"/>
        <w:rPr>
          <w:sz w:val="20"/>
          <w:szCs w:val="20"/>
          <w:color w:val="auto"/>
        </w:rPr>
      </w:pPr>
      <w:r>
        <w:rPr>
          <w:rFonts w:ascii="Arial" w:cs="Arial" w:eastAsia="Arial" w:hAnsi="Arial"/>
          <w:sz w:val="17"/>
          <w:szCs w:val="17"/>
          <w:color w:val="auto"/>
        </w:rPr>
        <w:t>authorization may be granted for a maximum period</w:t>
      </w:r>
    </w:p>
    <w:p>
      <w:pPr>
        <w:ind w:left="3140"/>
        <w:spacing w:after="0" w:line="237" w:lineRule="auto"/>
        <w:rPr>
          <w:sz w:val="20"/>
          <w:szCs w:val="20"/>
          <w:color w:val="auto"/>
        </w:rPr>
      </w:pPr>
      <w:r>
        <w:rPr>
          <w:rFonts w:ascii="Arial" w:cs="Arial" w:eastAsia="Arial" w:hAnsi="Arial"/>
          <w:sz w:val="17"/>
          <w:szCs w:val="17"/>
          <w:color w:val="auto"/>
        </w:rPr>
        <w:t>of five years, at which point it may be renewed by</w:t>
      </w:r>
    </w:p>
    <w:p>
      <w:pPr>
        <w:ind w:left="3140"/>
        <w:spacing w:after="0" w:line="237" w:lineRule="auto"/>
        <w:rPr>
          <w:sz w:val="20"/>
          <w:szCs w:val="20"/>
          <w:color w:val="auto"/>
        </w:rPr>
      </w:pPr>
      <w:r>
        <w:rPr>
          <w:rFonts w:ascii="Arial" w:cs="Arial" w:eastAsia="Arial" w:hAnsi="Arial"/>
          <w:sz w:val="17"/>
          <w:szCs w:val="17"/>
          <w:color w:val="auto"/>
        </w:rPr>
        <w:t>shareholders by an ordinary resolution. Accordingly,</w:t>
      </w:r>
    </w:p>
    <w:p>
      <w:pPr>
        <w:ind w:left="3140"/>
        <w:spacing w:after="0" w:line="237" w:lineRule="auto"/>
        <w:rPr>
          <w:sz w:val="20"/>
          <w:szCs w:val="20"/>
          <w:color w:val="auto"/>
        </w:rPr>
      </w:pPr>
      <w:r>
        <w:rPr>
          <w:rFonts w:ascii="Arial" w:cs="Arial" w:eastAsia="Arial" w:hAnsi="Arial"/>
          <w:sz w:val="17"/>
          <w:szCs w:val="17"/>
          <w:color w:val="auto"/>
        </w:rPr>
        <w:t>the Constitution authorizes our Board of Directors to</w:t>
      </w:r>
    </w:p>
    <w:p>
      <w:pPr>
        <w:ind w:left="3140"/>
        <w:spacing w:after="0" w:line="237" w:lineRule="auto"/>
        <w:rPr>
          <w:sz w:val="20"/>
          <w:szCs w:val="20"/>
          <w:color w:val="auto"/>
        </w:rPr>
      </w:pPr>
      <w:r>
        <w:rPr>
          <w:rFonts w:ascii="Arial" w:cs="Arial" w:eastAsia="Arial" w:hAnsi="Arial"/>
          <w:sz w:val="17"/>
          <w:szCs w:val="17"/>
          <w:color w:val="auto"/>
        </w:rPr>
        <w:t>issue  new  ordinary  shares  without  shareholder</w:t>
      </w:r>
    </w:p>
    <w:p>
      <w:pPr>
        <w:ind w:left="3140"/>
        <w:spacing w:after="0" w:line="238" w:lineRule="auto"/>
        <w:rPr>
          <w:sz w:val="20"/>
          <w:szCs w:val="20"/>
          <w:color w:val="auto"/>
        </w:rPr>
      </w:pPr>
      <w:r>
        <w:rPr>
          <w:rFonts w:ascii="Arial" w:cs="Arial" w:eastAsia="Arial" w:hAnsi="Arial"/>
          <w:sz w:val="17"/>
          <w:szCs w:val="17"/>
          <w:color w:val="auto"/>
        </w:rPr>
        <w:t>approval for a period of five years from the date of</w:t>
      </w:r>
    </w:p>
    <w:p>
      <w:pPr>
        <w:ind w:left="3140"/>
        <w:spacing w:after="0"/>
        <w:rPr>
          <w:sz w:val="20"/>
          <w:szCs w:val="20"/>
          <w:color w:val="auto"/>
        </w:rPr>
      </w:pPr>
      <w:r>
        <w:rPr>
          <w:rFonts w:ascii="Arial" w:cs="Arial" w:eastAsia="Arial" w:hAnsi="Arial"/>
          <w:sz w:val="17"/>
          <w:szCs w:val="17"/>
          <w:color w:val="auto"/>
        </w:rPr>
        <w:t>the adoption of the Constitution.</w:t>
      </w:r>
    </w:p>
    <w:p>
      <w:pPr>
        <w:spacing w:after="0" w:line="85"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Preemptive Rights</w:t>
      </w:r>
      <w:r>
        <w:rPr>
          <w:sz w:val="20"/>
          <w:szCs w:val="20"/>
          <w:color w:val="auto"/>
        </w:rPr>
        <w:tab/>
      </w:r>
      <w:r>
        <w:rPr>
          <w:rFonts w:ascii="Arial" w:cs="Arial" w:eastAsia="Arial" w:hAnsi="Arial"/>
          <w:sz w:val="17"/>
          <w:szCs w:val="17"/>
          <w:color w:val="auto"/>
        </w:rPr>
        <w:t>Under Irish law, unless otherwise authorized, when</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an Irish public limited company issues shares for</w:t>
      </w:r>
    </w:p>
    <w:p>
      <w:pPr>
        <w:jc w:val="right"/>
        <w:spacing w:after="0" w:line="237" w:lineRule="auto"/>
        <w:rPr>
          <w:sz w:val="20"/>
          <w:szCs w:val="20"/>
          <w:color w:val="auto"/>
        </w:rPr>
      </w:pPr>
      <w:r>
        <w:rPr>
          <w:rFonts w:ascii="Arial" w:cs="Arial" w:eastAsia="Arial" w:hAnsi="Arial"/>
          <w:sz w:val="17"/>
          <w:szCs w:val="17"/>
          <w:color w:val="auto"/>
        </w:rPr>
        <w:t>cash to new shareholders, it is required first to offer</w:t>
      </w:r>
    </w:p>
    <w:p>
      <w:pPr>
        <w:ind w:left="3140"/>
        <w:spacing w:after="0" w:line="237" w:lineRule="auto"/>
        <w:rPr>
          <w:sz w:val="20"/>
          <w:szCs w:val="20"/>
          <w:color w:val="auto"/>
        </w:rPr>
      </w:pPr>
      <w:r>
        <w:rPr>
          <w:rFonts w:ascii="Arial" w:cs="Arial" w:eastAsia="Arial" w:hAnsi="Arial"/>
          <w:sz w:val="17"/>
          <w:szCs w:val="17"/>
          <w:color w:val="auto"/>
        </w:rPr>
        <w:t>those shares on the same or more favorable terms</w:t>
      </w:r>
    </w:p>
    <w:p>
      <w:pPr>
        <w:ind w:left="3140"/>
        <w:spacing w:after="0" w:line="237" w:lineRule="auto"/>
        <w:rPr>
          <w:sz w:val="20"/>
          <w:szCs w:val="20"/>
          <w:color w:val="auto"/>
        </w:rPr>
      </w:pPr>
      <w:r>
        <w:rPr>
          <w:rFonts w:ascii="Arial" w:cs="Arial" w:eastAsia="Arial" w:hAnsi="Arial"/>
          <w:sz w:val="17"/>
          <w:szCs w:val="17"/>
          <w:color w:val="auto"/>
        </w:rPr>
        <w:t>to existing shareholders of the company on a pro</w:t>
      </w:r>
    </w:p>
    <w:p>
      <w:pPr>
        <w:ind w:left="3140"/>
        <w:spacing w:after="0" w:line="237" w:lineRule="auto"/>
        <w:rPr>
          <w:sz w:val="20"/>
          <w:szCs w:val="20"/>
          <w:color w:val="auto"/>
        </w:rPr>
      </w:pPr>
      <w:r>
        <w:rPr>
          <w:rFonts w:ascii="Arial" w:cs="Arial" w:eastAsia="Arial" w:hAnsi="Arial"/>
          <w:sz w:val="17"/>
          <w:szCs w:val="17"/>
          <w:color w:val="auto"/>
        </w:rPr>
        <w:t>rata basis, commonly referred to as the statutory</w:t>
      </w:r>
    </w:p>
    <w:p>
      <w:pPr>
        <w:ind w:left="3140"/>
        <w:spacing w:after="0" w:line="237" w:lineRule="auto"/>
        <w:rPr>
          <w:sz w:val="20"/>
          <w:szCs w:val="20"/>
          <w:color w:val="auto"/>
        </w:rPr>
      </w:pPr>
      <w:r>
        <w:rPr>
          <w:rFonts w:ascii="Arial" w:cs="Arial" w:eastAsia="Arial" w:hAnsi="Arial"/>
          <w:sz w:val="17"/>
          <w:szCs w:val="17"/>
          <w:color w:val="auto"/>
        </w:rPr>
        <w:t>preemption right. However, we have opted out of</w:t>
      </w:r>
    </w:p>
    <w:p>
      <w:pPr>
        <w:ind w:left="3140"/>
        <w:spacing w:after="0" w:line="237" w:lineRule="auto"/>
        <w:rPr>
          <w:sz w:val="20"/>
          <w:szCs w:val="20"/>
          <w:color w:val="auto"/>
        </w:rPr>
      </w:pPr>
      <w:r>
        <w:rPr>
          <w:rFonts w:ascii="Arial" w:cs="Arial" w:eastAsia="Arial" w:hAnsi="Arial"/>
          <w:sz w:val="17"/>
          <w:szCs w:val="17"/>
          <w:color w:val="auto"/>
        </w:rPr>
        <w:t>these  preemption  rights  in  the  Constitution  as</w:t>
      </w:r>
    </w:p>
    <w:p>
      <w:pPr>
        <w:ind w:left="3140"/>
        <w:spacing w:after="0" w:line="238" w:lineRule="auto"/>
        <w:rPr>
          <w:sz w:val="20"/>
          <w:szCs w:val="20"/>
          <w:color w:val="auto"/>
        </w:rPr>
      </w:pPr>
      <w:r>
        <w:rPr>
          <w:rFonts w:ascii="Arial" w:cs="Arial" w:eastAsia="Arial" w:hAnsi="Arial"/>
          <w:sz w:val="17"/>
          <w:szCs w:val="17"/>
          <w:color w:val="auto"/>
        </w:rPr>
        <w:t>permitted under Irish law. Because Irish law permits</w:t>
      </w:r>
    </w:p>
    <w:p>
      <w:pPr>
        <w:ind w:left="3140"/>
        <w:spacing w:after="0" w:line="237" w:lineRule="auto"/>
        <w:rPr>
          <w:sz w:val="20"/>
          <w:szCs w:val="20"/>
          <w:color w:val="auto"/>
        </w:rPr>
      </w:pPr>
      <w:r>
        <w:rPr>
          <w:rFonts w:ascii="Arial" w:cs="Arial" w:eastAsia="Arial" w:hAnsi="Arial"/>
          <w:sz w:val="17"/>
          <w:szCs w:val="17"/>
          <w:color w:val="auto"/>
        </w:rPr>
        <w:t>this opt-out to last for a maximum of five years, the</w:t>
      </w:r>
    </w:p>
    <w:p>
      <w:pPr>
        <w:ind w:left="3140"/>
        <w:spacing w:after="0" w:line="237" w:lineRule="auto"/>
        <w:rPr>
          <w:sz w:val="20"/>
          <w:szCs w:val="20"/>
          <w:color w:val="auto"/>
        </w:rPr>
      </w:pPr>
      <w:r>
        <w:rPr>
          <w:rFonts w:ascii="Arial" w:cs="Arial" w:eastAsia="Arial" w:hAnsi="Arial"/>
          <w:sz w:val="17"/>
          <w:szCs w:val="17"/>
          <w:color w:val="auto"/>
        </w:rPr>
        <w:t>Constitution provides that this opt-out will lapse five</w:t>
      </w:r>
    </w:p>
    <w:p>
      <w:pPr>
        <w:ind w:left="3140"/>
        <w:spacing w:after="0" w:line="237" w:lineRule="auto"/>
        <w:rPr>
          <w:sz w:val="20"/>
          <w:szCs w:val="20"/>
          <w:color w:val="auto"/>
        </w:rPr>
      </w:pPr>
      <w:r>
        <w:rPr>
          <w:rFonts w:ascii="Arial" w:cs="Arial" w:eastAsia="Arial" w:hAnsi="Arial"/>
          <w:sz w:val="17"/>
          <w:szCs w:val="17"/>
          <w:color w:val="auto"/>
        </w:rPr>
        <w:t>years after the adoption of the Constitution. Such</w:t>
      </w:r>
    </w:p>
    <w:p>
      <w:pPr>
        <w:ind w:left="3140"/>
        <w:spacing w:after="0" w:line="237" w:lineRule="auto"/>
        <w:rPr>
          <w:sz w:val="20"/>
          <w:szCs w:val="20"/>
          <w:color w:val="auto"/>
        </w:rPr>
      </w:pPr>
      <w:r>
        <w:rPr>
          <w:rFonts w:ascii="Arial" w:cs="Arial" w:eastAsia="Arial" w:hAnsi="Arial"/>
          <w:sz w:val="17"/>
          <w:szCs w:val="17"/>
          <w:color w:val="auto"/>
        </w:rPr>
        <w:t>opt-out may be renewed by a special resolution of</w:t>
      </w:r>
    </w:p>
    <w:p>
      <w:pPr>
        <w:ind w:left="3140"/>
        <w:spacing w:after="0" w:line="237" w:lineRule="auto"/>
        <w:rPr>
          <w:sz w:val="20"/>
          <w:szCs w:val="20"/>
          <w:color w:val="auto"/>
        </w:rPr>
      </w:pPr>
      <w:r>
        <w:rPr>
          <w:rFonts w:ascii="Arial" w:cs="Arial" w:eastAsia="Arial" w:hAnsi="Arial"/>
          <w:sz w:val="17"/>
          <w:szCs w:val="17"/>
          <w:color w:val="auto"/>
        </w:rPr>
        <w:t>the shareholders. A special resolution requires not</w:t>
      </w:r>
    </w:p>
    <w:p>
      <w:pPr>
        <w:ind w:left="3140"/>
        <w:spacing w:after="0" w:line="238" w:lineRule="auto"/>
        <w:rPr>
          <w:sz w:val="20"/>
          <w:szCs w:val="20"/>
          <w:color w:val="auto"/>
        </w:rPr>
      </w:pPr>
      <w:r>
        <w:rPr>
          <w:rFonts w:ascii="Arial" w:cs="Arial" w:eastAsia="Arial" w:hAnsi="Arial"/>
          <w:sz w:val="17"/>
          <w:szCs w:val="17"/>
          <w:color w:val="auto"/>
        </w:rPr>
        <w:t>less  than  75%  of  the  votes  cast  at  a  general</w:t>
      </w:r>
    </w:p>
    <w:p>
      <w:pPr>
        <w:ind w:left="3140"/>
        <w:spacing w:after="0" w:line="237" w:lineRule="auto"/>
        <w:rPr>
          <w:sz w:val="20"/>
          <w:szCs w:val="20"/>
          <w:color w:val="auto"/>
        </w:rPr>
      </w:pPr>
      <w:r>
        <w:rPr>
          <w:rFonts w:ascii="Arial" w:cs="Arial" w:eastAsia="Arial" w:hAnsi="Arial"/>
          <w:sz w:val="17"/>
          <w:szCs w:val="17"/>
          <w:color w:val="auto"/>
        </w:rPr>
        <w:t>meeting of our shareholders. If the opt-out is not</w:t>
      </w:r>
    </w:p>
    <w:p>
      <w:pPr>
        <w:ind w:left="3140"/>
        <w:spacing w:after="0" w:line="237" w:lineRule="auto"/>
        <w:rPr>
          <w:sz w:val="20"/>
          <w:szCs w:val="20"/>
          <w:color w:val="auto"/>
        </w:rPr>
      </w:pPr>
      <w:r>
        <w:rPr>
          <w:rFonts w:ascii="Arial" w:cs="Arial" w:eastAsia="Arial" w:hAnsi="Arial"/>
          <w:sz w:val="17"/>
          <w:szCs w:val="17"/>
          <w:color w:val="auto"/>
        </w:rPr>
        <w:t>renewed, shares issued for cash must be offered to</w:t>
      </w:r>
    </w:p>
    <w:p>
      <w:pPr>
        <w:ind w:left="3140"/>
        <w:spacing w:after="0" w:line="237" w:lineRule="auto"/>
        <w:rPr>
          <w:sz w:val="20"/>
          <w:szCs w:val="20"/>
          <w:color w:val="auto"/>
        </w:rPr>
      </w:pPr>
      <w:r>
        <w:rPr>
          <w:rFonts w:ascii="Arial" w:cs="Arial" w:eastAsia="Arial" w:hAnsi="Arial"/>
          <w:sz w:val="17"/>
          <w:szCs w:val="17"/>
          <w:color w:val="auto"/>
        </w:rPr>
        <w:t>our preexisting shareholders pro rata before the</w:t>
      </w:r>
    </w:p>
    <w:p>
      <w:pPr>
        <w:ind w:left="3140"/>
        <w:spacing w:after="0" w:line="237" w:lineRule="auto"/>
        <w:rPr>
          <w:sz w:val="20"/>
          <w:szCs w:val="20"/>
          <w:color w:val="auto"/>
        </w:rPr>
      </w:pPr>
      <w:r>
        <w:rPr>
          <w:rFonts w:ascii="Arial" w:cs="Arial" w:eastAsia="Arial" w:hAnsi="Arial"/>
          <w:sz w:val="17"/>
          <w:szCs w:val="17"/>
          <w:color w:val="auto"/>
        </w:rPr>
        <w:t>shares can be issued to any new shareholders. The</w:t>
      </w:r>
    </w:p>
    <w:p>
      <w:pPr>
        <w:ind w:left="3140"/>
        <w:spacing w:after="0" w:line="237" w:lineRule="auto"/>
        <w:rPr>
          <w:sz w:val="20"/>
          <w:szCs w:val="20"/>
          <w:color w:val="auto"/>
        </w:rPr>
      </w:pPr>
      <w:r>
        <w:rPr>
          <w:rFonts w:ascii="Arial" w:cs="Arial" w:eastAsia="Arial" w:hAnsi="Arial"/>
          <w:sz w:val="17"/>
          <w:szCs w:val="17"/>
          <w:color w:val="auto"/>
        </w:rPr>
        <w:t>statutory  preemption  rights  do  not  apply  where</w:t>
      </w:r>
    </w:p>
    <w:p>
      <w:pPr>
        <w:ind w:left="3140"/>
        <w:spacing w:after="0" w:line="238" w:lineRule="auto"/>
        <w:rPr>
          <w:sz w:val="20"/>
          <w:szCs w:val="20"/>
          <w:color w:val="auto"/>
        </w:rPr>
      </w:pPr>
      <w:r>
        <w:rPr>
          <w:rFonts w:ascii="Arial" w:cs="Arial" w:eastAsia="Arial" w:hAnsi="Arial"/>
          <w:sz w:val="17"/>
          <w:szCs w:val="17"/>
          <w:color w:val="auto"/>
        </w:rPr>
        <w:t>shares are issued for non-cash consideration and</w:t>
      </w:r>
    </w:p>
    <w:p>
      <w:pPr>
        <w:ind w:left="3140"/>
        <w:spacing w:after="0" w:line="237" w:lineRule="auto"/>
        <w:rPr>
          <w:sz w:val="20"/>
          <w:szCs w:val="20"/>
          <w:color w:val="auto"/>
        </w:rPr>
      </w:pPr>
      <w:r>
        <w:rPr>
          <w:rFonts w:ascii="Arial" w:cs="Arial" w:eastAsia="Arial" w:hAnsi="Arial"/>
          <w:sz w:val="17"/>
          <w:szCs w:val="17"/>
          <w:color w:val="auto"/>
        </w:rPr>
        <w:t>do not apply to the issue of non-equity shares (that</w:t>
      </w:r>
    </w:p>
    <w:p>
      <w:pPr>
        <w:ind w:left="3140"/>
        <w:spacing w:after="0" w:line="237" w:lineRule="auto"/>
        <w:rPr>
          <w:sz w:val="20"/>
          <w:szCs w:val="20"/>
          <w:color w:val="auto"/>
        </w:rPr>
      </w:pPr>
      <w:r>
        <w:rPr>
          <w:rFonts w:ascii="Arial" w:cs="Arial" w:eastAsia="Arial" w:hAnsi="Arial"/>
          <w:sz w:val="17"/>
          <w:szCs w:val="17"/>
          <w:color w:val="auto"/>
        </w:rPr>
        <w:t>is, shares that have the right to participate only up</w:t>
      </w:r>
    </w:p>
    <w:p>
      <w:pPr>
        <w:ind w:left="3140"/>
        <w:spacing w:after="0" w:line="237" w:lineRule="auto"/>
        <w:rPr>
          <w:sz w:val="20"/>
          <w:szCs w:val="20"/>
          <w:color w:val="auto"/>
        </w:rPr>
      </w:pPr>
      <w:r>
        <w:rPr>
          <w:rFonts w:ascii="Arial" w:cs="Arial" w:eastAsia="Arial" w:hAnsi="Arial"/>
          <w:sz w:val="17"/>
          <w:szCs w:val="17"/>
          <w:color w:val="auto"/>
        </w:rPr>
        <w:t>to a specified amount in any income or capital</w:t>
      </w:r>
    </w:p>
    <w:p>
      <w:pPr>
        <w:ind w:left="3140"/>
        <w:spacing w:after="0" w:line="237" w:lineRule="auto"/>
        <w:rPr>
          <w:sz w:val="20"/>
          <w:szCs w:val="20"/>
          <w:color w:val="auto"/>
        </w:rPr>
      </w:pPr>
      <w:r>
        <w:rPr>
          <w:rFonts w:ascii="Arial" w:cs="Arial" w:eastAsia="Arial" w:hAnsi="Arial"/>
          <w:sz w:val="17"/>
          <w:szCs w:val="17"/>
          <w:color w:val="auto"/>
        </w:rPr>
        <w:t>distribution) or where shares are issued pursuant to</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an employee option or similar equity plan.</w:t>
      </w:r>
    </w:p>
    <w:p>
      <w:pPr>
        <w:spacing w:after="0" w:line="85"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Authority to Allot</w:t>
      </w:r>
      <w:r>
        <w:rPr>
          <w:sz w:val="20"/>
          <w:szCs w:val="20"/>
          <w:color w:val="auto"/>
        </w:rPr>
        <w:tab/>
      </w:r>
      <w:r>
        <w:rPr>
          <w:rFonts w:ascii="Arial" w:cs="Arial" w:eastAsia="Arial" w:hAnsi="Arial"/>
          <w:sz w:val="17"/>
          <w:szCs w:val="17"/>
          <w:color w:val="auto"/>
        </w:rPr>
        <w:t>Under  the  Constitution,  we  may  issue  shares</w:t>
      </w:r>
    </w:p>
    <w:p>
      <w:pPr>
        <w:spacing w:after="0" w:line="14" w:lineRule="exact"/>
        <w:rPr>
          <w:sz w:val="20"/>
          <w:szCs w:val="20"/>
          <w:color w:val="auto"/>
        </w:rPr>
      </w:pPr>
    </w:p>
    <w:p>
      <w:pPr>
        <w:ind w:left="3140"/>
        <w:spacing w:after="0" w:line="254" w:lineRule="auto"/>
        <w:rPr>
          <w:sz w:val="20"/>
          <w:szCs w:val="20"/>
          <w:color w:val="auto"/>
        </w:rPr>
      </w:pPr>
      <w:r>
        <w:rPr>
          <w:rFonts w:ascii="Arial" w:cs="Arial" w:eastAsia="Arial" w:hAnsi="Arial"/>
          <w:sz w:val="17"/>
          <w:szCs w:val="17"/>
          <w:color w:val="auto"/>
        </w:rPr>
        <w:t>subject to the maximum authorized share capital contained in</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Delaware law, if the corporation’s charter or certificate of incorporation so provides, the board of directors has the</w:t>
      </w:r>
    </w:p>
    <w:p>
      <w:pPr>
        <w:sectPr>
          <w:pgSz w:w="11900" w:h="16838" w:orient="portrait"/>
          <w:cols w:equalWidth="0" w:num="2">
            <w:col w:w="7100" w:space="200"/>
            <w:col w:w="3840"/>
          </w:cols>
          <w:pgMar w:left="320" w:top="233"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the Constitution. The authorized share capital may</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be increased or reduced by a resolution approved</w:t>
      </w:r>
    </w:p>
    <w:p>
      <w:pPr>
        <w:ind w:left="3140"/>
        <w:spacing w:after="0" w:line="237" w:lineRule="auto"/>
        <w:rPr>
          <w:sz w:val="20"/>
          <w:szCs w:val="20"/>
          <w:color w:val="auto"/>
        </w:rPr>
      </w:pPr>
      <w:r>
        <w:rPr>
          <w:rFonts w:ascii="Arial" w:cs="Arial" w:eastAsia="Arial" w:hAnsi="Arial"/>
          <w:sz w:val="17"/>
          <w:szCs w:val="17"/>
          <w:color w:val="auto"/>
        </w:rPr>
        <w:t>by a simple majority of the votes cast at a general</w:t>
      </w:r>
    </w:p>
    <w:p>
      <w:pPr>
        <w:ind w:left="3140"/>
        <w:spacing w:after="0" w:line="237" w:lineRule="auto"/>
        <w:rPr>
          <w:sz w:val="20"/>
          <w:szCs w:val="20"/>
          <w:color w:val="auto"/>
        </w:rPr>
      </w:pPr>
      <w:r>
        <w:rPr>
          <w:rFonts w:ascii="Arial" w:cs="Arial" w:eastAsia="Arial" w:hAnsi="Arial"/>
          <w:sz w:val="17"/>
          <w:szCs w:val="17"/>
          <w:color w:val="auto"/>
        </w:rPr>
        <w:t>meeting of our shareholders, referred to under Irish</w:t>
      </w:r>
    </w:p>
    <w:p>
      <w:pPr>
        <w:ind w:left="3140"/>
        <w:spacing w:after="0" w:line="237" w:lineRule="auto"/>
        <w:rPr>
          <w:sz w:val="20"/>
          <w:szCs w:val="20"/>
          <w:color w:val="auto"/>
        </w:rPr>
      </w:pPr>
      <w:r>
        <w:rPr>
          <w:rFonts w:ascii="Arial" w:cs="Arial" w:eastAsia="Arial" w:hAnsi="Arial"/>
          <w:sz w:val="17"/>
          <w:szCs w:val="17"/>
          <w:color w:val="auto"/>
        </w:rPr>
        <w:t>law  as  an  “ordinary  resolution.”  Our  authorized</w:t>
      </w:r>
    </w:p>
    <w:p>
      <w:pPr>
        <w:ind w:left="3140"/>
        <w:spacing w:after="0" w:line="237" w:lineRule="auto"/>
        <w:rPr>
          <w:sz w:val="20"/>
          <w:szCs w:val="20"/>
          <w:color w:val="auto"/>
        </w:rPr>
      </w:pPr>
      <w:r>
        <w:rPr>
          <w:rFonts w:ascii="Arial" w:cs="Arial" w:eastAsia="Arial" w:hAnsi="Arial"/>
          <w:sz w:val="17"/>
          <w:szCs w:val="17"/>
          <w:color w:val="auto"/>
        </w:rPr>
        <w:t>share capital may be divided into shares of such</w:t>
      </w:r>
    </w:p>
    <w:p>
      <w:pPr>
        <w:ind w:left="3140"/>
        <w:spacing w:after="0" w:line="237" w:lineRule="auto"/>
        <w:rPr>
          <w:sz w:val="20"/>
          <w:szCs w:val="20"/>
          <w:color w:val="auto"/>
        </w:rPr>
      </w:pPr>
      <w:r>
        <w:rPr>
          <w:rFonts w:ascii="Arial" w:cs="Arial" w:eastAsia="Arial" w:hAnsi="Arial"/>
          <w:sz w:val="17"/>
          <w:szCs w:val="17"/>
          <w:color w:val="auto"/>
        </w:rPr>
        <w:t>nominal value as the resolution shall prescribe. As</w:t>
      </w:r>
    </w:p>
    <w:p>
      <w:pPr>
        <w:jc w:val="right"/>
        <w:spacing w:after="0" w:line="237" w:lineRule="auto"/>
        <w:rPr>
          <w:sz w:val="20"/>
          <w:szCs w:val="20"/>
          <w:color w:val="auto"/>
        </w:rPr>
      </w:pPr>
      <w:r>
        <w:rPr>
          <w:rFonts w:ascii="Arial" w:cs="Arial" w:eastAsia="Arial" w:hAnsi="Arial"/>
          <w:sz w:val="17"/>
          <w:szCs w:val="17"/>
          <w:color w:val="auto"/>
        </w:rPr>
        <w:t>a matter of Irish law, the directors of a company</w:t>
      </w:r>
    </w:p>
    <w:p>
      <w:pPr>
        <w:ind w:left="3140"/>
        <w:spacing w:after="0" w:line="238" w:lineRule="auto"/>
        <w:rPr>
          <w:sz w:val="20"/>
          <w:szCs w:val="20"/>
          <w:color w:val="auto"/>
        </w:rPr>
      </w:pPr>
      <w:r>
        <w:rPr>
          <w:rFonts w:ascii="Arial" w:cs="Arial" w:eastAsia="Arial" w:hAnsi="Arial"/>
          <w:sz w:val="17"/>
          <w:szCs w:val="17"/>
          <w:color w:val="auto"/>
        </w:rPr>
        <w:t>may issue new ordinary shares without shareholder</w:t>
      </w:r>
    </w:p>
    <w:p>
      <w:pPr>
        <w:ind w:left="3140"/>
        <w:spacing w:after="0" w:line="237" w:lineRule="auto"/>
        <w:rPr>
          <w:sz w:val="20"/>
          <w:szCs w:val="20"/>
          <w:color w:val="auto"/>
        </w:rPr>
      </w:pPr>
      <w:r>
        <w:rPr>
          <w:rFonts w:ascii="Arial" w:cs="Arial" w:eastAsia="Arial" w:hAnsi="Arial"/>
          <w:sz w:val="17"/>
          <w:szCs w:val="17"/>
          <w:color w:val="auto"/>
        </w:rPr>
        <w:t>approval once authorized to do so by its constitution</w:t>
      </w:r>
    </w:p>
    <w:p>
      <w:pPr>
        <w:ind w:left="3140"/>
        <w:spacing w:after="0"/>
        <w:tabs>
          <w:tab w:leader="none" w:pos="3440" w:val="left"/>
          <w:tab w:leader="none" w:pos="3760" w:val="left"/>
          <w:tab w:leader="none" w:pos="4120" w:val="left"/>
          <w:tab w:leader="none" w:pos="4880" w:val="left"/>
          <w:tab w:leader="none" w:pos="5780" w:val="left"/>
          <w:tab w:leader="none" w:pos="6560" w:val="left"/>
          <w:tab w:leader="none" w:pos="6900" w:val="left"/>
        </w:tabs>
        <w:rPr>
          <w:sz w:val="20"/>
          <w:szCs w:val="20"/>
          <w:color w:val="auto"/>
        </w:rPr>
      </w:pPr>
      <w:r>
        <w:rPr>
          <w:rFonts w:ascii="Arial" w:cs="Arial" w:eastAsia="Arial" w:hAnsi="Arial"/>
          <w:sz w:val="17"/>
          <w:szCs w:val="17"/>
          <w:color w:val="auto"/>
        </w:rPr>
        <w:t>or</w:t>
        <w:tab/>
        <w:t>by</w:t>
        <w:tab/>
        <w:t>an</w:t>
        <w:tab/>
        <w:t>ordinary</w:t>
        <w:tab/>
        <w:t>resolution</w:t>
        <w:tab/>
        <w:t>adopted</w:t>
        <w:tab/>
        <w:t>by</w:t>
      </w:r>
      <w:r>
        <w:rPr>
          <w:sz w:val="20"/>
          <w:szCs w:val="20"/>
          <w:color w:val="auto"/>
        </w:rPr>
        <w:tab/>
      </w:r>
      <w:r>
        <w:rPr>
          <w:rFonts w:ascii="Arial" w:cs="Arial" w:eastAsia="Arial" w:hAnsi="Arial"/>
          <w:sz w:val="16"/>
          <w:szCs w:val="16"/>
          <w:color w:val="auto"/>
        </w:rPr>
        <w:t>its</w:t>
      </w:r>
    </w:p>
    <w:p>
      <w:pPr>
        <w:ind w:left="3140"/>
        <w:spacing w:after="0" w:line="237" w:lineRule="auto"/>
        <w:tabs>
          <w:tab w:leader="none" w:pos="4360" w:val="left"/>
          <w:tab w:leader="none" w:pos="4740" w:val="left"/>
          <w:tab w:leader="none" w:pos="5080" w:val="left"/>
          <w:tab w:leader="none" w:pos="5880" w:val="left"/>
          <w:tab w:leader="none" w:pos="6780" w:val="left"/>
        </w:tabs>
        <w:rPr>
          <w:sz w:val="20"/>
          <w:szCs w:val="20"/>
          <w:color w:val="auto"/>
        </w:rPr>
      </w:pPr>
      <w:r>
        <w:rPr>
          <w:rFonts w:ascii="Arial" w:cs="Arial" w:eastAsia="Arial" w:hAnsi="Arial"/>
          <w:sz w:val="17"/>
          <w:szCs w:val="17"/>
          <w:color w:val="auto"/>
        </w:rPr>
        <w:t>shareholders</w:t>
        <w:tab/>
        <w:t>at</w:t>
        <w:tab/>
        <w:t>a</w:t>
        <w:tab/>
        <w:t>general</w:t>
        <w:tab/>
        <w:t>meeting.</w:t>
        <w:tab/>
        <w:t>The</w:t>
      </w:r>
    </w:p>
    <w:p>
      <w:pPr>
        <w:ind w:left="3140"/>
        <w:spacing w:after="0" w:line="237" w:lineRule="auto"/>
        <w:rPr>
          <w:sz w:val="20"/>
          <w:szCs w:val="20"/>
          <w:color w:val="auto"/>
        </w:rPr>
      </w:pPr>
      <w:r>
        <w:rPr>
          <w:rFonts w:ascii="Arial" w:cs="Arial" w:eastAsia="Arial" w:hAnsi="Arial"/>
          <w:sz w:val="17"/>
          <w:szCs w:val="17"/>
          <w:color w:val="auto"/>
        </w:rPr>
        <w:t>authorization may be granted for a maximum period</w:t>
      </w:r>
    </w:p>
    <w:p>
      <w:pPr>
        <w:ind w:left="3140"/>
        <w:spacing w:after="0" w:line="237" w:lineRule="auto"/>
        <w:rPr>
          <w:sz w:val="20"/>
          <w:szCs w:val="20"/>
          <w:color w:val="auto"/>
        </w:rPr>
      </w:pPr>
      <w:r>
        <w:rPr>
          <w:rFonts w:ascii="Arial" w:cs="Arial" w:eastAsia="Arial" w:hAnsi="Arial"/>
          <w:sz w:val="17"/>
          <w:szCs w:val="17"/>
          <w:color w:val="auto"/>
        </w:rPr>
        <w:t>of five years, at which point it may be renewed by</w:t>
      </w:r>
    </w:p>
    <w:p>
      <w:pPr>
        <w:ind w:left="3140"/>
        <w:spacing w:after="0" w:line="238" w:lineRule="auto"/>
        <w:rPr>
          <w:sz w:val="20"/>
          <w:szCs w:val="20"/>
          <w:color w:val="auto"/>
        </w:rPr>
      </w:pPr>
      <w:r>
        <w:rPr>
          <w:rFonts w:ascii="Arial" w:cs="Arial" w:eastAsia="Arial" w:hAnsi="Arial"/>
          <w:sz w:val="17"/>
          <w:szCs w:val="17"/>
          <w:color w:val="auto"/>
        </w:rPr>
        <w:t>shareholders by an ordinary resolution. Accordingly,</w:t>
      </w:r>
    </w:p>
    <w:p>
      <w:pPr>
        <w:ind w:left="3140"/>
        <w:spacing w:after="0" w:line="237" w:lineRule="auto"/>
        <w:rPr>
          <w:sz w:val="20"/>
          <w:szCs w:val="20"/>
          <w:color w:val="auto"/>
        </w:rPr>
      </w:pPr>
      <w:r>
        <w:rPr>
          <w:rFonts w:ascii="Arial" w:cs="Arial" w:eastAsia="Arial" w:hAnsi="Arial"/>
          <w:sz w:val="17"/>
          <w:szCs w:val="17"/>
          <w:color w:val="auto"/>
        </w:rPr>
        <w:t>the Constitution authorizes our Board of Directors to</w:t>
      </w:r>
    </w:p>
    <w:p>
      <w:pPr>
        <w:ind w:left="3140"/>
        <w:spacing w:after="0" w:line="237" w:lineRule="auto"/>
        <w:rPr>
          <w:sz w:val="20"/>
          <w:szCs w:val="20"/>
          <w:color w:val="auto"/>
        </w:rPr>
      </w:pPr>
      <w:r>
        <w:rPr>
          <w:rFonts w:ascii="Arial" w:cs="Arial" w:eastAsia="Arial" w:hAnsi="Arial"/>
          <w:sz w:val="17"/>
          <w:szCs w:val="17"/>
          <w:color w:val="auto"/>
        </w:rPr>
        <w:t>issue  new  ordinary  shares  without  shareholder</w:t>
      </w:r>
    </w:p>
    <w:p>
      <w:pPr>
        <w:ind w:left="3140"/>
        <w:spacing w:after="0" w:line="237" w:lineRule="auto"/>
        <w:rPr>
          <w:sz w:val="20"/>
          <w:szCs w:val="20"/>
          <w:color w:val="auto"/>
        </w:rPr>
      </w:pPr>
      <w:r>
        <w:rPr>
          <w:rFonts w:ascii="Arial" w:cs="Arial" w:eastAsia="Arial" w:hAnsi="Arial"/>
          <w:sz w:val="17"/>
          <w:szCs w:val="17"/>
          <w:color w:val="auto"/>
        </w:rPr>
        <w:t>approval for a period of five years from the date of</w:t>
      </w:r>
    </w:p>
    <w:p>
      <w:pPr>
        <w:ind w:left="3140"/>
        <w:spacing w:after="0"/>
        <w:rPr>
          <w:sz w:val="20"/>
          <w:szCs w:val="20"/>
          <w:color w:val="auto"/>
        </w:rPr>
      </w:pPr>
      <w:r>
        <w:rPr>
          <w:rFonts w:ascii="Arial" w:cs="Arial" w:eastAsia="Arial" w:hAnsi="Arial"/>
          <w:sz w:val="17"/>
          <w:szCs w:val="17"/>
          <w:color w:val="auto"/>
        </w:rPr>
        <w:t>the adoption of the Constitution.</w:t>
      </w:r>
    </w:p>
    <w:p>
      <w:pPr>
        <w:spacing w:after="0" w:line="85"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Acquisition of Own Shares</w:t>
      </w:r>
      <w:r>
        <w:rPr>
          <w:sz w:val="20"/>
          <w:szCs w:val="20"/>
          <w:color w:val="auto"/>
        </w:rPr>
        <w:tab/>
      </w:r>
      <w:r>
        <w:rPr>
          <w:rFonts w:ascii="Arial" w:cs="Arial" w:eastAsia="Arial" w:hAnsi="Arial"/>
          <w:sz w:val="17"/>
          <w:szCs w:val="17"/>
          <w:color w:val="auto"/>
        </w:rPr>
        <w:t>Under Irish law, a company may issue redeemable</w:t>
      </w:r>
    </w:p>
    <w:p>
      <w:pPr>
        <w:spacing w:after="0" w:line="11" w:lineRule="exact"/>
        <w:rPr>
          <w:sz w:val="20"/>
          <w:szCs w:val="20"/>
          <w:color w:val="auto"/>
        </w:rPr>
      </w:pPr>
    </w:p>
    <w:p>
      <w:pPr>
        <w:ind w:left="3140"/>
        <w:spacing w:after="0"/>
        <w:tabs>
          <w:tab w:leader="none" w:pos="3780" w:val="left"/>
          <w:tab w:leader="none" w:pos="4220" w:val="left"/>
          <w:tab w:leader="none" w:pos="4940" w:val="left"/>
          <w:tab w:leader="none" w:pos="5480" w:val="left"/>
          <w:tab w:leader="none" w:pos="5860" w:val="left"/>
          <w:tab w:leader="none" w:pos="6160" w:val="left"/>
        </w:tabs>
        <w:rPr>
          <w:sz w:val="20"/>
          <w:szCs w:val="20"/>
          <w:color w:val="auto"/>
        </w:rPr>
      </w:pPr>
      <w:r>
        <w:rPr>
          <w:rFonts w:ascii="Arial" w:cs="Arial" w:eastAsia="Arial" w:hAnsi="Arial"/>
          <w:sz w:val="17"/>
          <w:szCs w:val="17"/>
          <w:color w:val="auto"/>
        </w:rPr>
        <w:t>shares</w:t>
        <w:tab/>
        <w:t>and</w:t>
        <w:tab/>
        <w:t>redeem</w:t>
        <w:tab/>
        <w:t>them</w:t>
        <w:tab/>
        <w:t>out</w:t>
        <w:tab/>
        <w:t>of</w:t>
        <w:tab/>
        <w:t>distributable</w:t>
      </w:r>
    </w:p>
    <w:p>
      <w:pPr>
        <w:ind w:left="3140"/>
        <w:spacing w:after="0" w:line="237" w:lineRule="auto"/>
        <w:rPr>
          <w:sz w:val="20"/>
          <w:szCs w:val="20"/>
          <w:color w:val="auto"/>
        </w:rPr>
      </w:pPr>
      <w:r>
        <w:rPr>
          <w:rFonts w:ascii="Arial" w:cs="Arial" w:eastAsia="Arial" w:hAnsi="Arial"/>
          <w:sz w:val="17"/>
          <w:szCs w:val="17"/>
          <w:color w:val="auto"/>
        </w:rPr>
        <w:t>reserves or the proceeds of a new issue of shares</w:t>
      </w:r>
    </w:p>
    <w:p>
      <w:pPr>
        <w:ind w:left="3140"/>
        <w:spacing w:after="0" w:line="237" w:lineRule="auto"/>
        <w:rPr>
          <w:sz w:val="20"/>
          <w:szCs w:val="20"/>
          <w:color w:val="auto"/>
        </w:rPr>
      </w:pPr>
      <w:r>
        <w:rPr>
          <w:rFonts w:ascii="Arial" w:cs="Arial" w:eastAsia="Arial" w:hAnsi="Arial"/>
          <w:sz w:val="17"/>
          <w:szCs w:val="17"/>
          <w:color w:val="auto"/>
        </w:rPr>
        <w:t>for that purpose. All redeemable shares must also</w:t>
      </w:r>
    </w:p>
    <w:p>
      <w:pPr>
        <w:ind w:left="3140"/>
        <w:spacing w:after="0" w:line="237" w:lineRule="auto"/>
        <w:tabs>
          <w:tab w:leader="none" w:pos="3460" w:val="left"/>
          <w:tab w:leader="none" w:pos="3900" w:val="left"/>
          <w:tab w:leader="none" w:pos="4420" w:val="left"/>
          <w:tab w:leader="none" w:pos="5540" w:val="left"/>
          <w:tab w:leader="none" w:pos="6200" w:val="left"/>
          <w:tab w:leader="none" w:pos="6700" w:val="left"/>
        </w:tabs>
        <w:rPr>
          <w:sz w:val="20"/>
          <w:szCs w:val="20"/>
          <w:color w:val="auto"/>
        </w:rPr>
      </w:pPr>
      <w:r>
        <w:rPr>
          <w:rFonts w:ascii="Arial" w:cs="Arial" w:eastAsia="Arial" w:hAnsi="Arial"/>
          <w:sz w:val="17"/>
          <w:szCs w:val="17"/>
          <w:color w:val="auto"/>
        </w:rPr>
        <w:t>be</w:t>
        <w:tab/>
        <w:t>fully</w:t>
        <w:tab/>
        <w:t>paid.</w:t>
        <w:tab/>
        <w:t>Redeemable</w:t>
        <w:tab/>
        <w:t>shares</w:t>
        <w:tab/>
        <w:t>may,</w:t>
        <w:tab/>
        <w:t>upon</w:t>
      </w:r>
    </w:p>
    <w:p>
      <w:pPr>
        <w:ind w:left="3140"/>
        <w:spacing w:after="0" w:line="237" w:lineRule="auto"/>
        <w:rPr>
          <w:sz w:val="20"/>
          <w:szCs w:val="20"/>
          <w:color w:val="auto"/>
        </w:rPr>
      </w:pPr>
      <w:r>
        <w:rPr>
          <w:rFonts w:ascii="Arial" w:cs="Arial" w:eastAsia="Arial" w:hAnsi="Arial"/>
          <w:sz w:val="17"/>
          <w:szCs w:val="17"/>
          <w:color w:val="auto"/>
        </w:rPr>
        <w:t>redemption, be cancelled or held in treasury. The</w:t>
      </w:r>
    </w:p>
    <w:p>
      <w:pPr>
        <w:ind w:left="3140"/>
        <w:spacing w:after="0" w:line="237" w:lineRule="auto"/>
        <w:rPr>
          <w:sz w:val="20"/>
          <w:szCs w:val="20"/>
          <w:color w:val="auto"/>
        </w:rPr>
      </w:pPr>
      <w:r>
        <w:rPr>
          <w:rFonts w:ascii="Arial" w:cs="Arial" w:eastAsia="Arial" w:hAnsi="Arial"/>
          <w:sz w:val="17"/>
          <w:szCs w:val="17"/>
          <w:color w:val="auto"/>
        </w:rPr>
        <w:t>Constitution provides that shareholder approval will</w:t>
      </w:r>
    </w:p>
    <w:p>
      <w:pPr>
        <w:ind w:left="3140"/>
        <w:spacing w:after="0" w:line="237" w:lineRule="auto"/>
        <w:rPr>
          <w:sz w:val="20"/>
          <w:szCs w:val="20"/>
          <w:color w:val="auto"/>
        </w:rPr>
      </w:pPr>
      <w:r>
        <w:rPr>
          <w:rFonts w:ascii="Arial" w:cs="Arial" w:eastAsia="Arial" w:hAnsi="Arial"/>
          <w:sz w:val="17"/>
          <w:szCs w:val="17"/>
          <w:color w:val="auto"/>
        </w:rPr>
        <w:t>not be required to deem any shares redeemable.</w:t>
      </w:r>
    </w:p>
    <w:p>
      <w:pPr>
        <w:ind w:left="3140"/>
        <w:spacing w:after="0" w:line="238" w:lineRule="auto"/>
        <w:rPr>
          <w:sz w:val="20"/>
          <w:szCs w:val="20"/>
          <w:color w:val="auto"/>
        </w:rPr>
      </w:pPr>
      <w:r>
        <w:rPr>
          <w:rFonts w:ascii="Arial" w:cs="Arial" w:eastAsia="Arial" w:hAnsi="Arial"/>
          <w:sz w:val="17"/>
          <w:szCs w:val="17"/>
          <w:color w:val="auto"/>
        </w:rPr>
        <w:t>We  may  also  be  given  an  additional  general</w:t>
      </w:r>
    </w:p>
    <w:p>
      <w:pPr>
        <w:ind w:left="3140"/>
        <w:spacing w:after="0" w:line="237" w:lineRule="auto"/>
        <w:rPr>
          <w:sz w:val="20"/>
          <w:szCs w:val="20"/>
          <w:color w:val="auto"/>
        </w:rPr>
      </w:pPr>
      <w:r>
        <w:rPr>
          <w:rFonts w:ascii="Arial" w:cs="Arial" w:eastAsia="Arial" w:hAnsi="Arial"/>
          <w:sz w:val="17"/>
          <w:szCs w:val="17"/>
          <w:color w:val="auto"/>
        </w:rPr>
        <w:t>authority by our shareholders to purchase our own</w:t>
      </w:r>
    </w:p>
    <w:p>
      <w:pPr>
        <w:ind w:left="3140"/>
        <w:spacing w:after="0" w:line="237" w:lineRule="auto"/>
        <w:rPr>
          <w:sz w:val="20"/>
          <w:szCs w:val="20"/>
          <w:color w:val="auto"/>
        </w:rPr>
      </w:pPr>
      <w:r>
        <w:rPr>
          <w:rFonts w:ascii="Arial" w:cs="Arial" w:eastAsia="Arial" w:hAnsi="Arial"/>
          <w:sz w:val="17"/>
          <w:szCs w:val="17"/>
          <w:color w:val="auto"/>
        </w:rPr>
        <w:t>shares on-market, which would take effect on the</w:t>
      </w:r>
    </w:p>
    <w:p>
      <w:pPr>
        <w:ind w:left="3140"/>
        <w:spacing w:after="0" w:line="237" w:lineRule="auto"/>
        <w:rPr>
          <w:sz w:val="20"/>
          <w:szCs w:val="20"/>
          <w:color w:val="auto"/>
        </w:rPr>
      </w:pPr>
      <w:r>
        <w:rPr>
          <w:rFonts w:ascii="Arial" w:cs="Arial" w:eastAsia="Arial" w:hAnsi="Arial"/>
          <w:sz w:val="17"/>
          <w:szCs w:val="17"/>
          <w:color w:val="auto"/>
        </w:rPr>
        <w:t>same terms and be subject to the same conditions</w:t>
      </w:r>
    </w:p>
    <w:p>
      <w:pPr>
        <w:ind w:left="3140"/>
        <w:spacing w:after="0" w:line="237" w:lineRule="auto"/>
        <w:rPr>
          <w:sz w:val="20"/>
          <w:szCs w:val="20"/>
          <w:color w:val="auto"/>
        </w:rPr>
      </w:pPr>
      <w:r>
        <w:rPr>
          <w:rFonts w:ascii="Arial" w:cs="Arial" w:eastAsia="Arial" w:hAnsi="Arial"/>
          <w:sz w:val="17"/>
          <w:szCs w:val="17"/>
          <w:color w:val="auto"/>
        </w:rPr>
        <w:t>as applicable to purchases by our subsidiaries as</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described below.</w:t>
      </w:r>
    </w:p>
    <w:p>
      <w:pPr>
        <w:spacing w:after="0" w:line="175" w:lineRule="exact"/>
        <w:rPr>
          <w:sz w:val="20"/>
          <w:szCs w:val="20"/>
          <w:color w:val="auto"/>
        </w:rPr>
      </w:pPr>
    </w:p>
    <w:p>
      <w:pPr>
        <w:ind w:left="3140"/>
        <w:spacing w:after="0"/>
        <w:tabs>
          <w:tab w:leader="none" w:pos="4320" w:val="left"/>
          <w:tab w:leader="none" w:pos="4760" w:val="left"/>
          <w:tab w:leader="none" w:pos="5700" w:val="left"/>
          <w:tab w:leader="none" w:pos="6380" w:val="left"/>
          <w:tab w:leader="none" w:pos="6880" w:val="left"/>
        </w:tabs>
        <w:rPr>
          <w:sz w:val="20"/>
          <w:szCs w:val="20"/>
          <w:color w:val="auto"/>
        </w:rPr>
      </w:pPr>
      <w:r>
        <w:rPr>
          <w:rFonts w:ascii="Arial" w:cs="Arial" w:eastAsia="Arial" w:hAnsi="Arial"/>
          <w:sz w:val="17"/>
          <w:szCs w:val="17"/>
          <w:color w:val="auto"/>
        </w:rPr>
        <w:t>Repurchased</w:t>
        <w:tab/>
        <w:t>and</w:t>
        <w:tab/>
        <w:t>redeemed</w:t>
        <w:tab/>
        <w:t>shares</w:t>
        <w:tab/>
        <w:t>may</w:t>
      </w:r>
      <w:r>
        <w:rPr>
          <w:sz w:val="20"/>
          <w:szCs w:val="20"/>
          <w:color w:val="auto"/>
        </w:rPr>
        <w:tab/>
      </w:r>
      <w:r>
        <w:rPr>
          <w:rFonts w:ascii="Arial" w:cs="Arial" w:eastAsia="Arial" w:hAnsi="Arial"/>
          <w:sz w:val="16"/>
          <w:szCs w:val="16"/>
          <w:color w:val="auto"/>
        </w:rPr>
        <w:t>be</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cancelled or held as treasury shares. The nominal</w:t>
      </w:r>
    </w:p>
    <w:p>
      <w:pPr>
        <w:ind w:left="3140"/>
        <w:spacing w:after="0" w:line="237" w:lineRule="auto"/>
        <w:rPr>
          <w:sz w:val="20"/>
          <w:szCs w:val="20"/>
          <w:color w:val="auto"/>
        </w:rPr>
      </w:pPr>
      <w:r>
        <w:rPr>
          <w:rFonts w:ascii="Arial" w:cs="Arial" w:eastAsia="Arial" w:hAnsi="Arial"/>
          <w:sz w:val="17"/>
          <w:szCs w:val="17"/>
          <w:color w:val="auto"/>
        </w:rPr>
        <w:t>value of treasury shares that we hold at any time</w:t>
      </w:r>
    </w:p>
    <w:p>
      <w:pPr>
        <w:ind w:left="3140"/>
        <w:spacing w:after="0" w:line="237" w:lineRule="auto"/>
        <w:rPr>
          <w:sz w:val="20"/>
          <w:szCs w:val="20"/>
          <w:color w:val="auto"/>
        </w:rPr>
      </w:pPr>
      <w:r>
        <w:rPr>
          <w:rFonts w:ascii="Arial" w:cs="Arial" w:eastAsia="Arial" w:hAnsi="Arial"/>
          <w:sz w:val="17"/>
          <w:szCs w:val="17"/>
          <w:color w:val="auto"/>
        </w:rPr>
        <w:t>must not exceed 10% of the nominal value of our</w:t>
      </w:r>
    </w:p>
    <w:p>
      <w:pPr>
        <w:ind w:left="3140"/>
        <w:spacing w:after="0" w:line="237" w:lineRule="auto"/>
        <w:rPr>
          <w:sz w:val="20"/>
          <w:szCs w:val="20"/>
          <w:color w:val="auto"/>
        </w:rPr>
      </w:pPr>
      <w:r>
        <w:rPr>
          <w:rFonts w:ascii="Arial" w:cs="Arial" w:eastAsia="Arial" w:hAnsi="Arial"/>
          <w:sz w:val="17"/>
          <w:szCs w:val="17"/>
          <w:color w:val="auto"/>
        </w:rPr>
        <w:t>issued share capital. We may not exercise any</w:t>
      </w:r>
    </w:p>
    <w:p>
      <w:pPr>
        <w:ind w:left="3140"/>
        <w:spacing w:after="0" w:line="237" w:lineRule="auto"/>
        <w:rPr>
          <w:sz w:val="20"/>
          <w:szCs w:val="20"/>
          <w:color w:val="auto"/>
        </w:rPr>
      </w:pPr>
      <w:r>
        <w:rPr>
          <w:rFonts w:ascii="Arial" w:cs="Arial" w:eastAsia="Arial" w:hAnsi="Arial"/>
          <w:sz w:val="17"/>
          <w:szCs w:val="17"/>
          <w:color w:val="auto"/>
        </w:rPr>
        <w:t>voting  rights  in  respect  of  any  shares  held  as</w:t>
      </w:r>
    </w:p>
    <w:p>
      <w:pPr>
        <w:ind w:left="3140"/>
        <w:spacing w:after="0" w:line="237" w:lineRule="auto"/>
        <w:rPr>
          <w:sz w:val="20"/>
          <w:szCs w:val="20"/>
          <w:color w:val="auto"/>
        </w:rPr>
      </w:pPr>
      <w:r>
        <w:rPr>
          <w:rFonts w:ascii="Arial" w:cs="Arial" w:eastAsia="Arial" w:hAnsi="Arial"/>
          <w:sz w:val="17"/>
          <w:szCs w:val="17"/>
          <w:color w:val="auto"/>
        </w:rPr>
        <w:t>treasury shares. We may either cancel or, subject to</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certain conditions, reissue treasury shares.</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rPr>
          <w:sz w:val="20"/>
          <w:szCs w:val="20"/>
          <w:color w:val="auto"/>
        </w:rPr>
      </w:pPr>
      <w:r>
        <w:rPr>
          <w:rFonts w:ascii="Arial" w:cs="Arial" w:eastAsia="Arial" w:hAnsi="Arial"/>
          <w:sz w:val="17"/>
          <w:szCs w:val="17"/>
          <w:color w:val="auto"/>
        </w:rPr>
        <w:t>Under Delaware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ectPr>
          <w:pgSz w:w="11900" w:h="16838" w:orient="portrait"/>
          <w:cols w:equalWidth="0" w:num="2">
            <w:col w:w="7100" w:space="200"/>
            <w:col w:w="3840"/>
          </w:cols>
          <w:pgMar w:left="320" w:top="233" w:right="4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Under Irish law, an Irish or non-Irish subsidiary may</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purchase our shares either on-market or off-market.</w:t>
      </w:r>
    </w:p>
    <w:p>
      <w:pPr>
        <w:ind w:left="3140"/>
        <w:spacing w:after="0"/>
        <w:tabs>
          <w:tab w:leader="none" w:pos="3520" w:val="left"/>
          <w:tab w:leader="none" w:pos="3760" w:val="left"/>
          <w:tab w:leader="none" w:pos="4680" w:val="left"/>
          <w:tab w:leader="none" w:pos="4960" w:val="left"/>
          <w:tab w:leader="none" w:pos="5440" w:val="left"/>
          <w:tab w:leader="none" w:pos="5740" w:val="left"/>
          <w:tab w:leader="none" w:pos="6300" w:val="left"/>
        </w:tabs>
        <w:rPr>
          <w:sz w:val="20"/>
          <w:szCs w:val="20"/>
          <w:color w:val="auto"/>
        </w:rPr>
      </w:pPr>
      <w:r>
        <w:rPr>
          <w:rFonts w:ascii="Arial" w:cs="Arial" w:eastAsia="Arial" w:hAnsi="Arial"/>
          <w:sz w:val="17"/>
          <w:szCs w:val="17"/>
          <w:color w:val="auto"/>
        </w:rPr>
        <w:t>For</w:t>
        <w:tab/>
        <w:t>a</w:t>
        <w:tab/>
        <w:t>subsidiary</w:t>
        <w:tab/>
        <w:t>of</w:t>
        <w:tab/>
        <w:t>ours</w:t>
        <w:tab/>
        <w:t>to</w:t>
        <w:tab/>
        <w:t>make</w:t>
      </w:r>
      <w:r>
        <w:rPr>
          <w:sz w:val="20"/>
          <w:szCs w:val="20"/>
          <w:color w:val="auto"/>
        </w:rPr>
        <w:tab/>
      </w:r>
      <w:r>
        <w:rPr>
          <w:rFonts w:ascii="Arial" w:cs="Arial" w:eastAsia="Arial" w:hAnsi="Arial"/>
          <w:sz w:val="16"/>
          <w:szCs w:val="16"/>
          <w:color w:val="auto"/>
        </w:rPr>
        <w:t>on-market</w:t>
      </w:r>
    </w:p>
    <w:p>
      <w:pPr>
        <w:ind w:left="3140"/>
        <w:spacing w:after="0" w:line="237" w:lineRule="auto"/>
        <w:rPr>
          <w:sz w:val="20"/>
          <w:szCs w:val="20"/>
          <w:color w:val="auto"/>
        </w:rPr>
      </w:pPr>
      <w:r>
        <w:rPr>
          <w:rFonts w:ascii="Arial" w:cs="Arial" w:eastAsia="Arial" w:hAnsi="Arial"/>
          <w:sz w:val="17"/>
          <w:szCs w:val="17"/>
          <w:color w:val="auto"/>
        </w:rPr>
        <w:t>purchases of our shares, the shareholders must</w:t>
      </w:r>
    </w:p>
    <w:p>
      <w:pPr>
        <w:ind w:left="3140"/>
        <w:spacing w:after="0" w:line="237" w:lineRule="auto"/>
        <w:rPr>
          <w:sz w:val="20"/>
          <w:szCs w:val="20"/>
          <w:color w:val="auto"/>
        </w:rPr>
      </w:pPr>
      <w:r>
        <w:rPr>
          <w:rFonts w:ascii="Arial" w:cs="Arial" w:eastAsia="Arial" w:hAnsi="Arial"/>
          <w:sz w:val="17"/>
          <w:szCs w:val="17"/>
          <w:color w:val="auto"/>
        </w:rPr>
        <w:t>provide general authorization for such purchase by</w:t>
      </w:r>
    </w:p>
    <w:p>
      <w:pPr>
        <w:ind w:left="3140"/>
        <w:spacing w:after="0" w:line="237" w:lineRule="auto"/>
        <w:rPr>
          <w:sz w:val="20"/>
          <w:szCs w:val="20"/>
          <w:color w:val="auto"/>
        </w:rPr>
      </w:pPr>
      <w:r>
        <w:rPr>
          <w:rFonts w:ascii="Arial" w:cs="Arial" w:eastAsia="Arial" w:hAnsi="Arial"/>
          <w:sz w:val="17"/>
          <w:szCs w:val="17"/>
          <w:color w:val="auto"/>
        </w:rPr>
        <w:t>way of ordinary resolution. However, as long as this</w:t>
      </w:r>
    </w:p>
    <w:p>
      <w:pPr>
        <w:ind w:left="3140"/>
        <w:spacing w:after="0" w:line="237" w:lineRule="auto"/>
        <w:rPr>
          <w:sz w:val="20"/>
          <w:szCs w:val="20"/>
          <w:color w:val="auto"/>
        </w:rPr>
      </w:pPr>
      <w:r>
        <w:rPr>
          <w:rFonts w:ascii="Arial" w:cs="Arial" w:eastAsia="Arial" w:hAnsi="Arial"/>
          <w:sz w:val="17"/>
          <w:szCs w:val="17"/>
          <w:color w:val="auto"/>
        </w:rPr>
        <w:t>general authority has been granted, no specific</w:t>
      </w:r>
    </w:p>
    <w:p>
      <w:pPr>
        <w:ind w:left="3140"/>
        <w:spacing w:after="0" w:line="237" w:lineRule="auto"/>
        <w:rPr>
          <w:sz w:val="20"/>
          <w:szCs w:val="20"/>
          <w:color w:val="auto"/>
        </w:rPr>
      </w:pPr>
      <w:r>
        <w:rPr>
          <w:rFonts w:ascii="Arial" w:cs="Arial" w:eastAsia="Arial" w:hAnsi="Arial"/>
          <w:sz w:val="17"/>
          <w:szCs w:val="17"/>
          <w:color w:val="auto"/>
        </w:rPr>
        <w:t>shareholder  authority  for  a  particular  on-market</w:t>
      </w:r>
    </w:p>
    <w:p>
      <w:pPr>
        <w:ind w:left="3140"/>
        <w:spacing w:after="0" w:line="238" w:lineRule="auto"/>
        <w:rPr>
          <w:sz w:val="20"/>
          <w:szCs w:val="20"/>
          <w:color w:val="auto"/>
        </w:rPr>
      </w:pPr>
      <w:r>
        <w:rPr>
          <w:rFonts w:ascii="Arial" w:cs="Arial" w:eastAsia="Arial" w:hAnsi="Arial"/>
          <w:sz w:val="17"/>
          <w:szCs w:val="17"/>
          <w:color w:val="auto"/>
        </w:rPr>
        <w:t>purchase by a subsidiary of our shares is required.</w:t>
      </w:r>
    </w:p>
    <w:p>
      <w:pPr>
        <w:ind w:left="3140"/>
        <w:spacing w:after="0" w:line="237" w:lineRule="auto"/>
        <w:rPr>
          <w:sz w:val="20"/>
          <w:szCs w:val="20"/>
          <w:color w:val="auto"/>
        </w:rPr>
      </w:pPr>
      <w:r>
        <w:rPr>
          <w:rFonts w:ascii="Arial" w:cs="Arial" w:eastAsia="Arial" w:hAnsi="Arial"/>
          <w:sz w:val="17"/>
          <w:szCs w:val="17"/>
          <w:color w:val="auto"/>
        </w:rPr>
        <w:t>For an off-market purchase by a subsidiary of ours,</w:t>
      </w:r>
    </w:p>
    <w:p>
      <w:pPr>
        <w:ind w:left="3140"/>
        <w:spacing w:after="0" w:line="237" w:lineRule="auto"/>
        <w:rPr>
          <w:sz w:val="20"/>
          <w:szCs w:val="20"/>
          <w:color w:val="auto"/>
        </w:rPr>
      </w:pPr>
      <w:r>
        <w:rPr>
          <w:rFonts w:ascii="Arial" w:cs="Arial" w:eastAsia="Arial" w:hAnsi="Arial"/>
          <w:sz w:val="17"/>
          <w:szCs w:val="17"/>
          <w:color w:val="auto"/>
        </w:rPr>
        <w:t>the proposed purchase contract must be authorized</w:t>
      </w:r>
    </w:p>
    <w:p>
      <w:pPr>
        <w:ind w:left="3140"/>
        <w:spacing w:after="0" w:line="237" w:lineRule="auto"/>
        <w:rPr>
          <w:sz w:val="20"/>
          <w:szCs w:val="20"/>
          <w:color w:val="auto"/>
        </w:rPr>
      </w:pPr>
      <w:r>
        <w:rPr>
          <w:rFonts w:ascii="Arial" w:cs="Arial" w:eastAsia="Arial" w:hAnsi="Arial"/>
          <w:sz w:val="17"/>
          <w:szCs w:val="17"/>
          <w:color w:val="auto"/>
        </w:rPr>
        <w:t>by special resolution of our shareholders before the</w:t>
      </w:r>
    </w:p>
    <w:p>
      <w:pPr>
        <w:jc w:val="right"/>
        <w:spacing w:after="0" w:line="237" w:lineRule="auto"/>
        <w:rPr>
          <w:sz w:val="20"/>
          <w:szCs w:val="20"/>
          <w:color w:val="auto"/>
        </w:rPr>
      </w:pPr>
      <w:r>
        <w:rPr>
          <w:rFonts w:ascii="Arial" w:cs="Arial" w:eastAsia="Arial" w:hAnsi="Arial"/>
          <w:sz w:val="17"/>
          <w:szCs w:val="17"/>
          <w:color w:val="auto"/>
        </w:rPr>
        <w:t>contract is entered into. This authority must specify</w:t>
      </w:r>
    </w:p>
    <w:p>
      <w:pPr>
        <w:ind w:left="3140"/>
        <w:spacing w:after="0" w:line="237" w:lineRule="auto"/>
        <w:rPr>
          <w:sz w:val="20"/>
          <w:szCs w:val="20"/>
          <w:color w:val="auto"/>
        </w:rPr>
      </w:pPr>
      <w:r>
        <w:rPr>
          <w:rFonts w:ascii="Arial" w:cs="Arial" w:eastAsia="Arial" w:hAnsi="Arial"/>
          <w:sz w:val="17"/>
          <w:szCs w:val="17"/>
          <w:color w:val="auto"/>
        </w:rPr>
        <w:t>the date on which the authority is to expire, which</w:t>
      </w:r>
    </w:p>
    <w:p>
      <w:pPr>
        <w:ind w:left="3140"/>
        <w:spacing w:after="0" w:line="238" w:lineRule="auto"/>
        <w:rPr>
          <w:sz w:val="20"/>
          <w:szCs w:val="20"/>
          <w:color w:val="auto"/>
        </w:rPr>
      </w:pPr>
      <w:r>
        <w:rPr>
          <w:rFonts w:ascii="Arial" w:cs="Arial" w:eastAsia="Arial" w:hAnsi="Arial"/>
          <w:sz w:val="17"/>
          <w:szCs w:val="17"/>
          <w:color w:val="auto"/>
        </w:rPr>
        <w:t>shall not be more than 18 months from the date the</w:t>
      </w:r>
    </w:p>
    <w:p>
      <w:pPr>
        <w:ind w:left="3140"/>
        <w:spacing w:after="0" w:line="237" w:lineRule="auto"/>
        <w:rPr>
          <w:sz w:val="20"/>
          <w:szCs w:val="20"/>
          <w:color w:val="auto"/>
        </w:rPr>
      </w:pPr>
      <w:r>
        <w:rPr>
          <w:rFonts w:ascii="Arial" w:cs="Arial" w:eastAsia="Arial" w:hAnsi="Arial"/>
          <w:sz w:val="17"/>
          <w:szCs w:val="17"/>
          <w:color w:val="auto"/>
        </w:rPr>
        <w:t>special resolution was passed. The person whose</w:t>
      </w:r>
    </w:p>
    <w:p>
      <w:pPr>
        <w:ind w:left="3140"/>
        <w:spacing w:after="0" w:line="237" w:lineRule="auto"/>
        <w:rPr>
          <w:sz w:val="20"/>
          <w:szCs w:val="20"/>
          <w:color w:val="auto"/>
        </w:rPr>
      </w:pPr>
      <w:r>
        <w:rPr>
          <w:rFonts w:ascii="Arial" w:cs="Arial" w:eastAsia="Arial" w:hAnsi="Arial"/>
          <w:sz w:val="17"/>
          <w:szCs w:val="17"/>
          <w:color w:val="auto"/>
        </w:rPr>
        <w:t>shares of ours are to be bought cannot vote in favor</w:t>
      </w:r>
    </w:p>
    <w:p>
      <w:pPr>
        <w:ind w:left="3140"/>
        <w:spacing w:after="0" w:line="237" w:lineRule="auto"/>
        <w:rPr>
          <w:sz w:val="20"/>
          <w:szCs w:val="20"/>
          <w:color w:val="auto"/>
        </w:rPr>
      </w:pPr>
      <w:r>
        <w:rPr>
          <w:rFonts w:ascii="Arial" w:cs="Arial" w:eastAsia="Arial" w:hAnsi="Arial"/>
          <w:sz w:val="17"/>
          <w:szCs w:val="17"/>
          <w:color w:val="auto"/>
        </w:rPr>
        <w:t>of the special resolution and, for at least 21 days</w:t>
      </w:r>
    </w:p>
    <w:p>
      <w:pPr>
        <w:ind w:left="3140"/>
        <w:spacing w:after="0" w:line="237" w:lineRule="auto"/>
        <w:rPr>
          <w:sz w:val="20"/>
          <w:szCs w:val="20"/>
          <w:color w:val="auto"/>
        </w:rPr>
      </w:pPr>
      <w:r>
        <w:rPr>
          <w:rFonts w:ascii="Arial" w:cs="Arial" w:eastAsia="Arial" w:hAnsi="Arial"/>
          <w:sz w:val="17"/>
          <w:szCs w:val="17"/>
          <w:color w:val="auto"/>
        </w:rPr>
        <w:t>prior to the special resolution being passed, the</w:t>
      </w:r>
    </w:p>
    <w:p>
      <w:pPr>
        <w:ind w:left="3140"/>
        <w:spacing w:after="0" w:line="237" w:lineRule="auto"/>
        <w:rPr>
          <w:sz w:val="20"/>
          <w:szCs w:val="20"/>
          <w:color w:val="auto"/>
        </w:rPr>
      </w:pPr>
      <w:r>
        <w:rPr>
          <w:rFonts w:ascii="Arial" w:cs="Arial" w:eastAsia="Arial" w:hAnsi="Arial"/>
          <w:sz w:val="17"/>
          <w:szCs w:val="17"/>
          <w:color w:val="auto"/>
        </w:rPr>
        <w:t>purchase contract must be on display or must be</w:t>
      </w:r>
    </w:p>
    <w:p>
      <w:pPr>
        <w:ind w:left="3140"/>
        <w:spacing w:after="0" w:line="238" w:lineRule="auto"/>
        <w:rPr>
          <w:sz w:val="20"/>
          <w:szCs w:val="20"/>
          <w:color w:val="auto"/>
        </w:rPr>
      </w:pPr>
      <w:r>
        <w:rPr>
          <w:rFonts w:ascii="Arial" w:cs="Arial" w:eastAsia="Arial" w:hAnsi="Arial"/>
          <w:sz w:val="17"/>
          <w:szCs w:val="17"/>
          <w:color w:val="auto"/>
        </w:rPr>
        <w:t>available for inspection by our shareholders at our</w:t>
      </w:r>
    </w:p>
    <w:p>
      <w:pPr>
        <w:ind w:left="3140"/>
        <w:spacing w:after="0"/>
        <w:rPr>
          <w:sz w:val="20"/>
          <w:szCs w:val="20"/>
          <w:color w:val="auto"/>
        </w:rPr>
      </w:pPr>
      <w:r>
        <w:rPr>
          <w:rFonts w:ascii="Arial" w:cs="Arial" w:eastAsia="Arial" w:hAnsi="Arial"/>
          <w:sz w:val="17"/>
          <w:szCs w:val="17"/>
          <w:color w:val="auto"/>
        </w:rPr>
        <w:t>registered office.</w:t>
      </w:r>
    </w:p>
    <w:p>
      <w:pPr>
        <w:spacing w:after="0" w:line="85"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Different Classes of Shares</w:t>
      </w:r>
      <w:r>
        <w:rPr>
          <w:sz w:val="20"/>
          <w:szCs w:val="20"/>
          <w:color w:val="auto"/>
        </w:rPr>
        <w:tab/>
      </w:r>
      <w:r>
        <w:rPr>
          <w:rFonts w:ascii="Arial" w:cs="Arial" w:eastAsia="Arial" w:hAnsi="Arial"/>
          <w:sz w:val="17"/>
          <w:szCs w:val="17"/>
          <w:color w:val="auto"/>
        </w:rPr>
        <w:t>Without prejudice to any rights attached to any</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existing shares, we may issue shares with such</w:t>
      </w:r>
    </w:p>
    <w:p>
      <w:pPr>
        <w:ind w:left="3140"/>
        <w:spacing w:after="0" w:line="237" w:lineRule="auto"/>
        <w:rPr>
          <w:sz w:val="20"/>
          <w:szCs w:val="20"/>
          <w:color w:val="auto"/>
        </w:rPr>
      </w:pPr>
      <w:r>
        <w:rPr>
          <w:rFonts w:ascii="Arial" w:cs="Arial" w:eastAsia="Arial" w:hAnsi="Arial"/>
          <w:sz w:val="17"/>
          <w:szCs w:val="17"/>
          <w:color w:val="auto"/>
        </w:rPr>
        <w:t>rights or restrictions as we determine by an ordinary</w:t>
      </w:r>
    </w:p>
    <w:p>
      <w:pPr>
        <w:ind w:left="3140"/>
        <w:spacing w:after="0" w:line="237" w:lineRule="auto"/>
        <w:rPr>
          <w:sz w:val="20"/>
          <w:szCs w:val="20"/>
          <w:color w:val="auto"/>
        </w:rPr>
      </w:pPr>
      <w:r>
        <w:rPr>
          <w:rFonts w:ascii="Arial" w:cs="Arial" w:eastAsia="Arial" w:hAnsi="Arial"/>
          <w:sz w:val="17"/>
          <w:szCs w:val="17"/>
          <w:color w:val="auto"/>
        </w:rPr>
        <w:t>resolution  approved  by  our  shareholders.  As  a</w:t>
      </w:r>
    </w:p>
    <w:p>
      <w:pPr>
        <w:ind w:left="3140"/>
        <w:spacing w:after="0" w:line="237" w:lineRule="auto"/>
        <w:rPr>
          <w:sz w:val="20"/>
          <w:szCs w:val="20"/>
          <w:color w:val="auto"/>
        </w:rPr>
      </w:pPr>
      <w:r>
        <w:rPr>
          <w:rFonts w:ascii="Arial" w:cs="Arial" w:eastAsia="Arial" w:hAnsi="Arial"/>
          <w:sz w:val="17"/>
          <w:szCs w:val="17"/>
          <w:color w:val="auto"/>
        </w:rPr>
        <w:t>matter of Irish company law, the directors of a</w:t>
      </w:r>
    </w:p>
    <w:p>
      <w:pPr>
        <w:ind w:left="3140"/>
        <w:spacing w:after="0" w:line="237" w:lineRule="auto"/>
        <w:rPr>
          <w:sz w:val="20"/>
          <w:szCs w:val="20"/>
          <w:color w:val="auto"/>
        </w:rPr>
      </w:pPr>
      <w:r>
        <w:rPr>
          <w:rFonts w:ascii="Arial" w:cs="Arial" w:eastAsia="Arial" w:hAnsi="Arial"/>
          <w:sz w:val="17"/>
          <w:szCs w:val="17"/>
          <w:color w:val="auto"/>
        </w:rPr>
        <w:t>company may issue new ordinary shares without</w:t>
      </w:r>
    </w:p>
    <w:p>
      <w:pPr>
        <w:ind w:left="3140"/>
        <w:spacing w:after="0" w:line="237" w:lineRule="auto"/>
        <w:rPr>
          <w:sz w:val="20"/>
          <w:szCs w:val="20"/>
          <w:color w:val="auto"/>
        </w:rPr>
      </w:pPr>
      <w:r>
        <w:rPr>
          <w:rFonts w:ascii="Arial" w:cs="Arial" w:eastAsia="Arial" w:hAnsi="Arial"/>
          <w:sz w:val="17"/>
          <w:szCs w:val="17"/>
          <w:color w:val="auto"/>
        </w:rPr>
        <w:t>shareholder approval once authorized to do so by</w:t>
      </w:r>
    </w:p>
    <w:p>
      <w:pPr>
        <w:ind w:left="3140"/>
        <w:spacing w:after="0" w:line="237" w:lineRule="auto"/>
        <w:rPr>
          <w:sz w:val="20"/>
          <w:szCs w:val="20"/>
          <w:color w:val="auto"/>
        </w:rPr>
      </w:pPr>
      <w:r>
        <w:rPr>
          <w:rFonts w:ascii="Arial" w:cs="Arial" w:eastAsia="Arial" w:hAnsi="Arial"/>
          <w:sz w:val="17"/>
          <w:szCs w:val="17"/>
          <w:color w:val="auto"/>
        </w:rPr>
        <w:t>the constitution or by an ordinary resolution adopted</w:t>
      </w:r>
    </w:p>
    <w:p>
      <w:pPr>
        <w:ind w:left="3140"/>
        <w:spacing w:after="0" w:line="238" w:lineRule="auto"/>
        <w:rPr>
          <w:sz w:val="20"/>
          <w:szCs w:val="20"/>
          <w:color w:val="auto"/>
        </w:rPr>
      </w:pPr>
      <w:r>
        <w:rPr>
          <w:rFonts w:ascii="Arial" w:cs="Arial" w:eastAsia="Arial" w:hAnsi="Arial"/>
          <w:sz w:val="17"/>
          <w:szCs w:val="17"/>
          <w:color w:val="auto"/>
        </w:rPr>
        <w:t>by the shareholders at a general meeting. The</w:t>
      </w:r>
    </w:p>
    <w:p>
      <w:pPr>
        <w:ind w:left="3140"/>
        <w:spacing w:after="0" w:line="237" w:lineRule="auto"/>
        <w:rPr>
          <w:sz w:val="20"/>
          <w:szCs w:val="20"/>
          <w:color w:val="auto"/>
        </w:rPr>
      </w:pPr>
      <w:r>
        <w:rPr>
          <w:rFonts w:ascii="Arial" w:cs="Arial" w:eastAsia="Arial" w:hAnsi="Arial"/>
          <w:sz w:val="17"/>
          <w:szCs w:val="17"/>
          <w:color w:val="auto"/>
        </w:rPr>
        <w:t>authorization may be granted for a maximum period</w:t>
      </w:r>
    </w:p>
    <w:p>
      <w:pPr>
        <w:ind w:left="3140"/>
        <w:spacing w:after="0" w:line="237" w:lineRule="auto"/>
        <w:rPr>
          <w:sz w:val="20"/>
          <w:szCs w:val="20"/>
          <w:color w:val="auto"/>
        </w:rPr>
      </w:pPr>
      <w:r>
        <w:rPr>
          <w:rFonts w:ascii="Arial" w:cs="Arial" w:eastAsia="Arial" w:hAnsi="Arial"/>
          <w:sz w:val="17"/>
          <w:szCs w:val="17"/>
          <w:color w:val="auto"/>
        </w:rPr>
        <w:t>of five years, at which point it must be renewed by</w:t>
      </w:r>
    </w:p>
    <w:p>
      <w:pPr>
        <w:ind w:left="3140"/>
        <w:spacing w:after="0" w:line="237" w:lineRule="auto"/>
        <w:rPr>
          <w:sz w:val="20"/>
          <w:szCs w:val="20"/>
          <w:color w:val="auto"/>
        </w:rPr>
      </w:pPr>
      <w:r>
        <w:rPr>
          <w:rFonts w:ascii="Arial" w:cs="Arial" w:eastAsia="Arial" w:hAnsi="Arial"/>
          <w:sz w:val="17"/>
          <w:szCs w:val="17"/>
          <w:color w:val="auto"/>
        </w:rPr>
        <w:t>the shareholders by an ordinary resolution (if we</w:t>
      </w:r>
    </w:p>
    <w:p>
      <w:pPr>
        <w:ind w:left="3140"/>
        <w:spacing w:after="0" w:line="237" w:lineRule="auto"/>
        <w:rPr>
          <w:sz w:val="20"/>
          <w:szCs w:val="20"/>
          <w:color w:val="auto"/>
        </w:rPr>
      </w:pPr>
      <w:r>
        <w:rPr>
          <w:rFonts w:ascii="Arial" w:cs="Arial" w:eastAsia="Arial" w:hAnsi="Arial"/>
          <w:sz w:val="17"/>
          <w:szCs w:val="17"/>
          <w:color w:val="auto"/>
        </w:rPr>
        <w:t>wish to issue shares). The Constitution authorizes</w:t>
      </w:r>
    </w:p>
    <w:p>
      <w:pPr>
        <w:ind w:left="3140"/>
        <w:spacing w:after="0" w:line="237" w:lineRule="auto"/>
        <w:rPr>
          <w:sz w:val="20"/>
          <w:szCs w:val="20"/>
          <w:color w:val="auto"/>
        </w:rPr>
      </w:pPr>
      <w:r>
        <w:rPr>
          <w:rFonts w:ascii="Arial" w:cs="Arial" w:eastAsia="Arial" w:hAnsi="Arial"/>
          <w:sz w:val="17"/>
          <w:szCs w:val="17"/>
          <w:color w:val="auto"/>
        </w:rPr>
        <w:t>our Board of Directors to issue new ordinary shares</w:t>
      </w:r>
    </w:p>
    <w:p>
      <w:pPr>
        <w:ind w:left="3140"/>
        <w:spacing w:after="0" w:line="238" w:lineRule="auto"/>
        <w:rPr>
          <w:sz w:val="20"/>
          <w:szCs w:val="20"/>
          <w:color w:val="auto"/>
        </w:rPr>
      </w:pPr>
      <w:r>
        <w:rPr>
          <w:rFonts w:ascii="Arial" w:cs="Arial" w:eastAsia="Arial" w:hAnsi="Arial"/>
          <w:sz w:val="17"/>
          <w:szCs w:val="17"/>
          <w:color w:val="auto"/>
        </w:rPr>
        <w:t>without shareholder approval for a period of five</w:t>
      </w:r>
    </w:p>
    <w:p>
      <w:pPr>
        <w:ind w:left="3140"/>
        <w:spacing w:after="0" w:line="237" w:lineRule="auto"/>
        <w:rPr>
          <w:sz w:val="20"/>
          <w:szCs w:val="20"/>
          <w:color w:val="auto"/>
        </w:rPr>
      </w:pPr>
      <w:r>
        <w:rPr>
          <w:rFonts w:ascii="Arial" w:cs="Arial" w:eastAsia="Arial" w:hAnsi="Arial"/>
          <w:sz w:val="17"/>
          <w:szCs w:val="17"/>
          <w:color w:val="auto"/>
        </w:rPr>
        <w:t>years from the date of adoption of our Constitution.</w:t>
      </w:r>
    </w:p>
    <w:p>
      <w:pPr>
        <w:ind w:left="3140"/>
        <w:spacing w:after="0" w:line="237" w:lineRule="auto"/>
        <w:rPr>
          <w:sz w:val="20"/>
          <w:szCs w:val="20"/>
          <w:color w:val="auto"/>
        </w:rPr>
      </w:pPr>
      <w:r>
        <w:rPr>
          <w:rFonts w:ascii="Arial" w:cs="Arial" w:eastAsia="Arial" w:hAnsi="Arial"/>
          <w:sz w:val="17"/>
          <w:szCs w:val="17"/>
          <w:color w:val="auto"/>
        </w:rPr>
        <w:t>We may also issue shares which are, or are liable</w:t>
      </w:r>
    </w:p>
    <w:p>
      <w:pPr>
        <w:ind w:left="3140"/>
        <w:spacing w:after="0"/>
        <w:rPr>
          <w:sz w:val="20"/>
          <w:szCs w:val="20"/>
          <w:color w:val="auto"/>
        </w:rPr>
      </w:pPr>
      <w:r>
        <w:rPr>
          <w:rFonts w:ascii="Arial" w:cs="Arial" w:eastAsia="Arial" w:hAnsi="Arial"/>
          <w:sz w:val="17"/>
          <w:szCs w:val="17"/>
          <w:color w:val="auto"/>
        </w:rPr>
        <w:t>to be, redeemed at the option of us or the holder.</w:t>
      </w:r>
    </w:p>
    <w:p>
      <w:pPr>
        <w:spacing w:after="0" w:line="32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company’s Delaware’s certificate of incorporation may authorize the board of directors:</w:t>
      </w:r>
    </w:p>
    <w:p>
      <w:pPr>
        <w:spacing w:after="0" w:line="135" w:lineRule="exact"/>
        <w:rPr>
          <w:sz w:val="20"/>
          <w:szCs w:val="20"/>
          <w:color w:val="auto"/>
        </w:rPr>
      </w:pPr>
    </w:p>
    <w:p>
      <w:pPr>
        <w:ind w:firstLine="4"/>
        <w:spacing w:after="0" w:line="273" w:lineRule="auto"/>
        <w:tabs>
          <w:tab w:leader="none" w:pos="29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provide for the issuance of one or  more series of preferred stock;</w:t>
      </w:r>
    </w:p>
    <w:p>
      <w:pPr>
        <w:spacing w:after="0" w:line="134" w:lineRule="exact"/>
        <w:rPr>
          <w:rFonts w:ascii="Arial" w:cs="Arial" w:eastAsia="Arial" w:hAnsi="Arial"/>
          <w:sz w:val="17"/>
          <w:szCs w:val="17"/>
          <w:color w:val="auto"/>
        </w:rPr>
      </w:pPr>
    </w:p>
    <w:p>
      <w:pPr>
        <w:ind w:firstLine="4"/>
        <w:spacing w:after="0" w:line="273" w:lineRule="auto"/>
        <w:tabs>
          <w:tab w:leader="none" w:pos="2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establish from time to time the number of shares to be included in such series; and</w:t>
      </w:r>
    </w:p>
    <w:p>
      <w:pPr>
        <w:spacing w:after="0" w:line="134" w:lineRule="exact"/>
        <w:rPr>
          <w:rFonts w:ascii="Arial" w:cs="Arial" w:eastAsia="Arial" w:hAnsi="Arial"/>
          <w:sz w:val="17"/>
          <w:szCs w:val="17"/>
          <w:color w:val="auto"/>
        </w:rPr>
      </w:pPr>
    </w:p>
    <w:p>
      <w:pPr>
        <w:jc w:val="both"/>
        <w:ind w:firstLine="4"/>
        <w:spacing w:after="0" w:line="249" w:lineRule="auto"/>
        <w:tabs>
          <w:tab w:leader="none" w:pos="3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fix the designations, preferences and relative, participating, optional or other special rights, and qualifications, limitations or restrictions of each such series.</w:t>
      </w:r>
    </w:p>
    <w:p>
      <w:pPr>
        <w:sectPr>
          <w:pgSz w:w="11900" w:h="16838" w:orient="portrait"/>
          <w:cols w:equalWidth="0" w:num="2">
            <w:col w:w="7100" w:space="200"/>
            <w:col w:w="3840"/>
          </w:cols>
          <w:pgMar w:left="320" w:top="233" w:right="4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jc w:val="both"/>
        <w:ind w:left="3140"/>
        <w:spacing w:after="0"/>
        <w:rPr>
          <w:sz w:val="20"/>
          <w:szCs w:val="20"/>
          <w:color w:val="auto"/>
        </w:rPr>
      </w:pPr>
      <w:r>
        <w:rPr>
          <w:rFonts w:ascii="Arial" w:cs="Arial" w:eastAsia="Arial" w:hAnsi="Arial"/>
          <w:sz w:val="17"/>
          <w:szCs w:val="17"/>
          <w:color w:val="auto"/>
        </w:rPr>
        <w:t>Whenever our share capital is divided into different classes of shares, the special rights attached to any class may be varied or abrogated either with the written consent of the holders of 75% in nominal value of the issued shares of the class (excluding shares held as treasury shares) or with the sanction of a special resolution passed at a separate meeting of the holders of the shares of the class (but not otherwise), and may be so varied or abrogated either while we are a going concern or during or in contemplation of a winding up. The rights conferred upon the holders of any class of shares issued with preferred or other rights shall not, unless otherwise expressly provided by the terms of issue of the shares of that class, be deemed to be varied by our purchase or redemption of our own shares or by the creation or issue of further shares ranking pari passu therewith or subordinate thereto.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20"/>
                <w:szCs w:val="20"/>
                <w:color w:val="auto"/>
              </w:rPr>
            </w:pPr>
            <w:r>
              <w:rPr>
                <w:rFonts w:ascii="Arial" w:cs="Arial" w:eastAsia="Arial" w:hAnsi="Arial"/>
                <w:sz w:val="17"/>
                <w:szCs w:val="17"/>
                <w:color w:val="auto"/>
              </w:rPr>
              <w:t>Dividends</w:t>
            </w:r>
          </w:p>
        </w:tc>
        <w:tc>
          <w:tcPr>
            <w:tcW w:w="1660" w:type="dxa"/>
            <w:vAlign w:val="bottom"/>
          </w:tcPr>
          <w:p>
            <w:pPr>
              <w:ind w:left="1180"/>
              <w:spacing w:after="0"/>
              <w:rPr>
                <w:sz w:val="20"/>
                <w:szCs w:val="20"/>
                <w:color w:val="auto"/>
              </w:rPr>
            </w:pPr>
            <w:r>
              <w:rPr>
                <w:rFonts w:ascii="Arial" w:cs="Arial" w:eastAsia="Arial" w:hAnsi="Arial"/>
                <w:sz w:val="17"/>
                <w:szCs w:val="17"/>
                <w:color w:val="auto"/>
                <w:w w:val="99"/>
              </w:rPr>
              <w:t>Under</w:t>
            </w: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Irish law, dividends and</w:t>
            </w:r>
          </w:p>
        </w:tc>
        <w:tc>
          <w:tcPr>
            <w:tcW w:w="1000" w:type="dxa"/>
            <w:vAlign w:val="bottom"/>
          </w:tcPr>
          <w:p>
            <w:pPr>
              <w:ind w:left="40"/>
              <w:spacing w:after="0"/>
              <w:rPr>
                <w:sz w:val="20"/>
                <w:szCs w:val="20"/>
                <w:color w:val="auto"/>
              </w:rPr>
            </w:pPr>
            <w:r>
              <w:rPr>
                <w:rFonts w:ascii="Arial" w:cs="Arial" w:eastAsia="Arial" w:hAnsi="Arial"/>
                <w:sz w:val="17"/>
                <w:szCs w:val="17"/>
                <w:color w:val="auto"/>
              </w:rPr>
              <w:t>distributions</w:t>
            </w:r>
          </w:p>
        </w:tc>
        <w:tc>
          <w:tcPr>
            <w:tcW w:w="380" w:type="dxa"/>
            <w:vAlign w:val="bottom"/>
          </w:tcPr>
          <w:p>
            <w:pPr>
              <w:jc w:val="right"/>
              <w:spacing w:after="0"/>
              <w:rPr>
                <w:sz w:val="20"/>
                <w:szCs w:val="20"/>
                <w:color w:val="auto"/>
              </w:rPr>
            </w:pPr>
            <w:r>
              <w:rPr>
                <w:rFonts w:ascii="Arial" w:cs="Arial" w:eastAsia="Arial" w:hAnsi="Arial"/>
                <w:sz w:val="17"/>
                <w:szCs w:val="17"/>
                <w:color w:val="auto"/>
              </w:rPr>
              <w:t>may</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only be made from distributable reserves which are,</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generally, a company’s accumulated realized profits</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less its accumulated realized losses. In addition, no</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distribution or dividend may be made if our net</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assets are not, or if making such distribution or</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dividend will cause our net assets to not be, equal</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to, or in excess of, the aggregate of our called up</w:t>
            </w:r>
          </w:p>
        </w:tc>
      </w:tr>
      <w:tr>
        <w:trPr>
          <w:trHeight w:val="225"/>
        </w:trPr>
        <w:tc>
          <w:tcPr>
            <w:tcW w:w="1960" w:type="dxa"/>
            <w:vAlign w:val="bottom"/>
          </w:tcPr>
          <w:p>
            <w:pPr>
              <w:spacing w:after="0"/>
              <w:rPr>
                <w:sz w:val="19"/>
                <w:szCs w:val="19"/>
                <w:color w:val="auto"/>
              </w:rPr>
            </w:pPr>
          </w:p>
        </w:tc>
        <w:tc>
          <w:tcPr>
            <w:tcW w:w="4760" w:type="dxa"/>
            <w:vAlign w:val="bottom"/>
            <w:gridSpan w:val="4"/>
          </w:tcPr>
          <w:p>
            <w:pPr>
              <w:ind w:left="1180"/>
              <w:spacing w:after="0"/>
              <w:rPr>
                <w:sz w:val="20"/>
                <w:szCs w:val="20"/>
                <w:color w:val="auto"/>
              </w:rPr>
            </w:pPr>
            <w:r>
              <w:rPr>
                <w:rFonts w:ascii="Arial" w:cs="Arial" w:eastAsia="Arial" w:hAnsi="Arial"/>
                <w:sz w:val="17"/>
                <w:szCs w:val="17"/>
                <w:color w:val="auto"/>
              </w:rPr>
              <w:t>share capital plus undistributable reserves.</w:t>
            </w:r>
          </w:p>
        </w:tc>
        <w:tc>
          <w:tcPr>
            <w:tcW w:w="380" w:type="dxa"/>
            <w:vAlign w:val="bottom"/>
          </w:tcPr>
          <w:p>
            <w:pPr>
              <w:spacing w:after="0"/>
              <w:rPr>
                <w:sz w:val="19"/>
                <w:szCs w:val="19"/>
                <w:color w:val="auto"/>
              </w:rPr>
            </w:pPr>
          </w:p>
        </w:tc>
      </w:tr>
      <w:tr>
        <w:trPr>
          <w:trHeight w:val="354"/>
        </w:trPr>
        <w:tc>
          <w:tcPr>
            <w:tcW w:w="1960" w:type="dxa"/>
            <w:vAlign w:val="bottom"/>
          </w:tcPr>
          <w:p>
            <w:pPr>
              <w:spacing w:after="0"/>
              <w:rPr>
                <w:sz w:val="24"/>
                <w:szCs w:val="24"/>
                <w:color w:val="auto"/>
              </w:rPr>
            </w:pPr>
          </w:p>
        </w:tc>
        <w:tc>
          <w:tcPr>
            <w:tcW w:w="5140" w:type="dxa"/>
            <w:vAlign w:val="bottom"/>
            <w:gridSpan w:val="5"/>
          </w:tcPr>
          <w:p>
            <w:pPr>
              <w:ind w:left="1180"/>
              <w:spacing w:after="0"/>
              <w:rPr>
                <w:sz w:val="20"/>
                <w:szCs w:val="20"/>
                <w:color w:val="auto"/>
              </w:rPr>
            </w:pPr>
            <w:r>
              <w:rPr>
                <w:rFonts w:ascii="Arial" w:cs="Arial" w:eastAsia="Arial" w:hAnsi="Arial"/>
                <w:sz w:val="17"/>
                <w:szCs w:val="17"/>
                <w:color w:val="auto"/>
              </w:rPr>
              <w:t>Undistributable  reserves  include  the  company’s</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undenominated capital and the amount by which a</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company’s accumulated unrealized profits exceeds</w:t>
            </w:r>
          </w:p>
        </w:tc>
      </w:tr>
      <w:tr>
        <w:trPr>
          <w:trHeight w:val="193"/>
        </w:trPr>
        <w:tc>
          <w:tcPr>
            <w:tcW w:w="1960" w:type="dxa"/>
            <w:vAlign w:val="bottom"/>
          </w:tcPr>
          <w:p>
            <w:pPr>
              <w:spacing w:after="0"/>
              <w:rPr>
                <w:sz w:val="16"/>
                <w:szCs w:val="16"/>
                <w:color w:val="auto"/>
              </w:rPr>
            </w:pPr>
          </w:p>
        </w:tc>
        <w:tc>
          <w:tcPr>
            <w:tcW w:w="1660" w:type="dxa"/>
            <w:vAlign w:val="bottom"/>
          </w:tcPr>
          <w:p>
            <w:pPr>
              <w:ind w:left="1180"/>
              <w:spacing w:after="0" w:line="194" w:lineRule="exact"/>
              <w:rPr>
                <w:sz w:val="20"/>
                <w:szCs w:val="20"/>
                <w:color w:val="auto"/>
              </w:rPr>
            </w:pPr>
            <w:r>
              <w:rPr>
                <w:rFonts w:ascii="Arial" w:cs="Arial" w:eastAsia="Arial" w:hAnsi="Arial"/>
                <w:sz w:val="17"/>
                <w:szCs w:val="17"/>
                <w:color w:val="auto"/>
              </w:rPr>
              <w:t>its</w:t>
            </w:r>
          </w:p>
        </w:tc>
        <w:tc>
          <w:tcPr>
            <w:tcW w:w="1120" w:type="dxa"/>
            <w:vAlign w:val="bottom"/>
          </w:tcPr>
          <w:p>
            <w:pPr>
              <w:spacing w:after="0" w:line="194" w:lineRule="exact"/>
              <w:rPr>
                <w:sz w:val="20"/>
                <w:szCs w:val="20"/>
                <w:color w:val="auto"/>
              </w:rPr>
            </w:pPr>
            <w:r>
              <w:rPr>
                <w:rFonts w:ascii="Arial" w:cs="Arial" w:eastAsia="Arial" w:hAnsi="Arial"/>
                <w:sz w:val="17"/>
                <w:szCs w:val="17"/>
                <w:color w:val="auto"/>
              </w:rPr>
              <w:t>accumulated</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unrealized</w:t>
            </w:r>
          </w:p>
        </w:tc>
        <w:tc>
          <w:tcPr>
            <w:tcW w:w="1000" w:type="dxa"/>
            <w:vAlign w:val="bottom"/>
          </w:tcPr>
          <w:p>
            <w:pPr>
              <w:ind w:left="240"/>
              <w:spacing w:after="0" w:line="194" w:lineRule="exact"/>
              <w:rPr>
                <w:sz w:val="20"/>
                <w:szCs w:val="20"/>
                <w:color w:val="auto"/>
              </w:rPr>
            </w:pPr>
            <w:r>
              <w:rPr>
                <w:rFonts w:ascii="Arial" w:cs="Arial" w:eastAsia="Arial" w:hAnsi="Arial"/>
                <w:sz w:val="17"/>
                <w:szCs w:val="17"/>
                <w:color w:val="auto"/>
              </w:rPr>
              <w:t>losses.</w:t>
            </w:r>
          </w:p>
        </w:tc>
        <w:tc>
          <w:tcPr>
            <w:tcW w:w="380" w:type="dxa"/>
            <w:vAlign w:val="bottom"/>
          </w:tcPr>
          <w:p>
            <w:pPr>
              <w:jc w:val="right"/>
              <w:spacing w:after="0" w:line="194" w:lineRule="exact"/>
              <w:rPr>
                <w:sz w:val="20"/>
                <w:szCs w:val="20"/>
                <w:color w:val="auto"/>
              </w:rPr>
            </w:pPr>
            <w:r>
              <w:rPr>
                <w:rFonts w:ascii="Arial" w:cs="Arial" w:eastAsia="Arial" w:hAnsi="Arial"/>
                <w:sz w:val="17"/>
                <w:szCs w:val="17"/>
                <w:color w:val="auto"/>
              </w:rPr>
              <w:t>The</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determination  as  to  whether  or  not  we  have</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sufficient distributable reserves to fund a dividend</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must be made by reference to our most recent</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unconsolidated annual audited financial statements</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or other financial statements properly prepared in</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accordance  with  the  Irish  Companies  Act.  The</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relevant financial statements must be filed in the</w:t>
            </w:r>
          </w:p>
        </w:tc>
      </w:tr>
      <w:tr>
        <w:trPr>
          <w:trHeight w:val="193"/>
        </w:trPr>
        <w:tc>
          <w:tcPr>
            <w:tcW w:w="1960" w:type="dxa"/>
            <w:vAlign w:val="bottom"/>
          </w:tcPr>
          <w:p>
            <w:pPr>
              <w:spacing w:after="0"/>
              <w:rPr>
                <w:sz w:val="16"/>
                <w:szCs w:val="16"/>
                <w:color w:val="auto"/>
              </w:rPr>
            </w:pPr>
          </w:p>
        </w:tc>
        <w:tc>
          <w:tcPr>
            <w:tcW w:w="5140" w:type="dxa"/>
            <w:vAlign w:val="bottom"/>
            <w:gridSpan w:val="5"/>
          </w:tcPr>
          <w:p>
            <w:pPr>
              <w:ind w:left="1180"/>
              <w:spacing w:after="0" w:line="194" w:lineRule="exact"/>
              <w:rPr>
                <w:sz w:val="20"/>
                <w:szCs w:val="20"/>
                <w:color w:val="auto"/>
              </w:rPr>
            </w:pPr>
            <w:r>
              <w:rPr>
                <w:rFonts w:ascii="Arial" w:cs="Arial" w:eastAsia="Arial" w:hAnsi="Arial"/>
                <w:sz w:val="17"/>
                <w:szCs w:val="17"/>
                <w:color w:val="auto"/>
              </w:rPr>
              <w:t>Companies Registration Office (the official public</w:t>
            </w:r>
          </w:p>
        </w:tc>
      </w:tr>
      <w:tr>
        <w:trPr>
          <w:trHeight w:val="225"/>
        </w:trPr>
        <w:tc>
          <w:tcPr>
            <w:tcW w:w="1960" w:type="dxa"/>
            <w:vAlign w:val="bottom"/>
          </w:tcPr>
          <w:p>
            <w:pPr>
              <w:spacing w:after="0"/>
              <w:rPr>
                <w:sz w:val="19"/>
                <w:szCs w:val="19"/>
                <w:color w:val="auto"/>
              </w:rPr>
            </w:pPr>
          </w:p>
        </w:tc>
        <w:tc>
          <w:tcPr>
            <w:tcW w:w="3760" w:type="dxa"/>
            <w:vAlign w:val="bottom"/>
            <w:gridSpan w:val="3"/>
          </w:tcPr>
          <w:p>
            <w:pPr>
              <w:ind w:left="1180"/>
              <w:spacing w:after="0"/>
              <w:rPr>
                <w:sz w:val="20"/>
                <w:szCs w:val="20"/>
                <w:color w:val="auto"/>
              </w:rPr>
            </w:pPr>
            <w:r>
              <w:rPr>
                <w:rFonts w:ascii="Arial" w:cs="Arial" w:eastAsia="Arial" w:hAnsi="Arial"/>
                <w:sz w:val="17"/>
                <w:szCs w:val="17"/>
                <w:color w:val="auto"/>
              </w:rPr>
              <w:t>registry for companies in Ireland).</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48"/>
        </w:trPr>
        <w:tc>
          <w:tcPr>
            <w:tcW w:w="1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Delaware law, subject to any restriction in the corporation’s certificate of incorporation, the Board may declare and pay dividends out of:</w:t>
      </w:r>
    </w:p>
    <w:p>
      <w:pPr>
        <w:spacing w:after="0" w:line="150" w:lineRule="exact"/>
        <w:rPr>
          <w:sz w:val="20"/>
          <w:szCs w:val="20"/>
          <w:color w:val="auto"/>
        </w:rPr>
      </w:pPr>
    </w:p>
    <w:p>
      <w:pPr>
        <w:ind w:firstLine="4"/>
        <w:spacing w:after="0" w:line="273" w:lineRule="auto"/>
        <w:tabs>
          <w:tab w:leader="none" w:pos="2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surplus of the corporation, which is defined as net assets less statutory capital; or</w:t>
      </w:r>
    </w:p>
    <w:p>
      <w:pPr>
        <w:spacing w:after="0" w:line="134" w:lineRule="exact"/>
        <w:rPr>
          <w:rFonts w:ascii="Arial" w:cs="Arial" w:eastAsia="Arial" w:hAnsi="Arial"/>
          <w:sz w:val="17"/>
          <w:szCs w:val="17"/>
          <w:color w:val="auto"/>
        </w:rPr>
      </w:pPr>
    </w:p>
    <w:p>
      <w:pPr>
        <w:jc w:val="both"/>
        <w:ind w:firstLine="4"/>
        <w:spacing w:after="0" w:line="255" w:lineRule="auto"/>
        <w:tabs>
          <w:tab w:leader="none" w:pos="2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no surplus exists, out of the net profits of the corporation for the year in which the dividend is declared and/or the preceding year;</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provided, however, that if the capital of the corporation has been diminished to an amount less than the aggregate amount of capital represented by the issued and outstanding stock of all classes having preference upon the distribution of assets, the Board may not declare and pay dividends out of the corporation’s net profits until the deficiency in the capital has been repaired.</w:t>
      </w:r>
    </w:p>
    <w:p>
      <w:pPr>
        <w:sectPr>
          <w:pgSz w:w="11900" w:h="16838" w:orient="portrait"/>
          <w:cols w:equalWidth="0" w:num="2">
            <w:col w:w="7100" w:space="200"/>
            <w:col w:w="3840"/>
          </w:cols>
          <w:pgMar w:left="320" w:top="233" w:right="4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The Constitution authorizes our Board of Directors</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to declare an interim dividend without shareholder</w:t>
      </w:r>
    </w:p>
    <w:p>
      <w:pPr>
        <w:jc w:val="right"/>
        <w:spacing w:after="0" w:line="237" w:lineRule="auto"/>
        <w:rPr>
          <w:sz w:val="20"/>
          <w:szCs w:val="20"/>
          <w:color w:val="auto"/>
        </w:rPr>
      </w:pPr>
      <w:r>
        <w:rPr>
          <w:rFonts w:ascii="Arial" w:cs="Arial" w:eastAsia="Arial" w:hAnsi="Arial"/>
          <w:sz w:val="17"/>
          <w:szCs w:val="17"/>
          <w:color w:val="auto"/>
        </w:rPr>
        <w:t>approval  to  the  extent  they  appear  justified  by</w:t>
      </w:r>
    </w:p>
    <w:p>
      <w:pPr>
        <w:ind w:left="3140"/>
        <w:spacing w:after="0" w:line="237" w:lineRule="auto"/>
        <w:rPr>
          <w:sz w:val="20"/>
          <w:szCs w:val="20"/>
          <w:color w:val="auto"/>
        </w:rPr>
      </w:pPr>
      <w:r>
        <w:rPr>
          <w:rFonts w:ascii="Arial" w:cs="Arial" w:eastAsia="Arial" w:hAnsi="Arial"/>
          <w:sz w:val="17"/>
          <w:szCs w:val="17"/>
          <w:color w:val="auto"/>
        </w:rPr>
        <w:t>profits of the Company available for distribution.</w:t>
      </w:r>
    </w:p>
    <w:p>
      <w:pPr>
        <w:ind w:left="3140"/>
        <w:spacing w:after="0" w:line="237" w:lineRule="auto"/>
        <w:rPr>
          <w:sz w:val="20"/>
          <w:szCs w:val="20"/>
          <w:color w:val="auto"/>
        </w:rPr>
      </w:pPr>
      <w:r>
        <w:rPr>
          <w:rFonts w:ascii="Arial" w:cs="Arial" w:eastAsia="Arial" w:hAnsi="Arial"/>
          <w:sz w:val="17"/>
          <w:szCs w:val="17"/>
          <w:color w:val="auto"/>
        </w:rPr>
        <w:t>Our Board of Directors may also recommend a</w:t>
      </w:r>
    </w:p>
    <w:p>
      <w:pPr>
        <w:ind w:left="3140"/>
        <w:spacing w:after="0" w:line="237" w:lineRule="auto"/>
        <w:rPr>
          <w:sz w:val="20"/>
          <w:szCs w:val="20"/>
          <w:color w:val="auto"/>
        </w:rPr>
      </w:pPr>
      <w:r>
        <w:rPr>
          <w:rFonts w:ascii="Arial" w:cs="Arial" w:eastAsia="Arial" w:hAnsi="Arial"/>
          <w:sz w:val="17"/>
          <w:szCs w:val="17"/>
          <w:color w:val="auto"/>
        </w:rPr>
        <w:t>dividend  to  be  approved  and  declared  by  the</w:t>
      </w:r>
    </w:p>
    <w:p>
      <w:pPr>
        <w:ind w:left="3140"/>
        <w:spacing w:after="0" w:line="237" w:lineRule="auto"/>
        <w:rPr>
          <w:sz w:val="20"/>
          <w:szCs w:val="20"/>
          <w:color w:val="auto"/>
        </w:rPr>
      </w:pPr>
      <w:r>
        <w:rPr>
          <w:rFonts w:ascii="Arial" w:cs="Arial" w:eastAsia="Arial" w:hAnsi="Arial"/>
          <w:sz w:val="17"/>
          <w:szCs w:val="17"/>
          <w:color w:val="auto"/>
        </w:rPr>
        <w:t>shareholders at a general meeting, provided that no</w:t>
      </w:r>
    </w:p>
    <w:p>
      <w:pPr>
        <w:ind w:left="3140"/>
        <w:spacing w:after="0" w:line="237" w:lineRule="auto"/>
        <w:tabs>
          <w:tab w:leader="none" w:pos="3980" w:val="left"/>
          <w:tab w:leader="none" w:pos="4720" w:val="left"/>
          <w:tab w:leader="none" w:pos="5260" w:val="left"/>
          <w:tab w:leader="none" w:pos="6040" w:val="left"/>
          <w:tab w:leader="none" w:pos="6500" w:val="left"/>
        </w:tabs>
        <w:rPr>
          <w:sz w:val="20"/>
          <w:szCs w:val="20"/>
          <w:color w:val="auto"/>
        </w:rPr>
      </w:pPr>
      <w:r>
        <w:rPr>
          <w:rFonts w:ascii="Arial" w:cs="Arial" w:eastAsia="Arial" w:hAnsi="Arial"/>
          <w:sz w:val="17"/>
          <w:szCs w:val="17"/>
          <w:color w:val="auto"/>
        </w:rPr>
        <w:t>dividend</w:t>
        <w:tab/>
        <w:t>issued</w:t>
        <w:tab/>
        <w:t>may</w:t>
        <w:tab/>
        <w:t>exceed</w:t>
        <w:tab/>
        <w:t>the</w:t>
        <w:tab/>
        <w:t>amount</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recommended by the directors.</w:t>
      </w:r>
    </w:p>
    <w:p>
      <w:pPr>
        <w:spacing w:after="0" w:line="85" w:lineRule="exact"/>
        <w:rPr>
          <w:sz w:val="20"/>
          <w:szCs w:val="20"/>
          <w:color w:val="auto"/>
        </w:rPr>
      </w:pPr>
    </w:p>
    <w:p>
      <w:pPr>
        <w:spacing w:after="0"/>
        <w:tabs>
          <w:tab w:leader="none" w:pos="840" w:val="left"/>
          <w:tab w:leader="none" w:pos="1880" w:val="left"/>
          <w:tab w:leader="none" w:pos="2920" w:val="left"/>
        </w:tabs>
        <w:rPr>
          <w:sz w:val="20"/>
          <w:szCs w:val="20"/>
          <w:color w:val="auto"/>
        </w:rPr>
      </w:pPr>
      <w:r>
        <w:rPr>
          <w:rFonts w:ascii="Arial" w:cs="Arial" w:eastAsia="Arial" w:hAnsi="Arial"/>
          <w:sz w:val="17"/>
          <w:szCs w:val="17"/>
          <w:color w:val="auto"/>
        </w:rPr>
        <w:t>General</w:t>
        <w:tab/>
        <w:t>Provisions</w:t>
        <w:tab/>
        <w:t>Governing</w:t>
        <w:tab/>
        <w:t>a Our duration will be unlimited. We may be dissolved</w:t>
      </w:r>
    </w:p>
    <w:p>
      <w:pPr>
        <w:spacing w:after="0" w:line="11" w:lineRule="exact"/>
        <w:rPr>
          <w:sz w:val="20"/>
          <w:szCs w:val="20"/>
          <w:color w:val="auto"/>
        </w:rPr>
      </w:pPr>
    </w:p>
    <w:p>
      <w:pPr>
        <w:spacing w:after="0"/>
        <w:tabs>
          <w:tab w:leader="none" w:pos="3120" w:val="left"/>
          <w:tab w:leader="none" w:pos="3580" w:val="left"/>
          <w:tab w:leader="none" w:pos="4260" w:val="left"/>
          <w:tab w:leader="none" w:pos="4600" w:val="left"/>
          <w:tab w:leader="none" w:pos="4920" w:val="left"/>
          <w:tab w:leader="none" w:pos="5360" w:val="left"/>
          <w:tab w:leader="none" w:pos="5860" w:val="left"/>
          <w:tab w:leader="none" w:pos="6200" w:val="left"/>
          <w:tab w:leader="none" w:pos="6680" w:val="left"/>
          <w:tab w:leader="none" w:pos="6980" w:val="left"/>
        </w:tabs>
        <w:rPr>
          <w:sz w:val="20"/>
          <w:szCs w:val="20"/>
          <w:color w:val="auto"/>
        </w:rPr>
      </w:pPr>
      <w:r>
        <w:rPr>
          <w:rFonts w:ascii="Arial" w:cs="Arial" w:eastAsia="Arial" w:hAnsi="Arial"/>
          <w:sz w:val="17"/>
          <w:szCs w:val="17"/>
          <w:color w:val="auto"/>
        </w:rPr>
        <w:t>Liquidation; Liquidation Distributions</w:t>
      </w:r>
      <w:r>
        <w:rPr>
          <w:sz w:val="20"/>
          <w:szCs w:val="20"/>
          <w:color w:val="auto"/>
        </w:rPr>
        <w:tab/>
      </w:r>
      <w:r>
        <w:rPr>
          <w:rFonts w:ascii="Arial" w:cs="Arial" w:eastAsia="Arial" w:hAnsi="Arial"/>
          <w:sz w:val="17"/>
          <w:szCs w:val="17"/>
          <w:color w:val="auto"/>
        </w:rPr>
        <w:t>and</w:t>
        <w:tab/>
        <w:t>wound</w:t>
        <w:tab/>
        <w:t>up</w:t>
        <w:tab/>
        <w:t>at</w:t>
        <w:tab/>
        <w:t>any</w:t>
        <w:tab/>
        <w:t>time</w:t>
        <w:tab/>
        <w:t>by</w:t>
        <w:tab/>
        <w:t>way</w:t>
        <w:tab/>
        <w:t>of</w:t>
        <w:tab/>
        <w:t>a</w:t>
      </w:r>
    </w:p>
    <w:p>
      <w:pPr>
        <w:ind w:left="3140"/>
        <w:spacing w:after="0" w:line="237" w:lineRule="auto"/>
        <w:rPr>
          <w:sz w:val="20"/>
          <w:szCs w:val="20"/>
          <w:color w:val="auto"/>
        </w:rPr>
      </w:pPr>
      <w:r>
        <w:rPr>
          <w:rFonts w:ascii="Arial" w:cs="Arial" w:eastAsia="Arial" w:hAnsi="Arial"/>
          <w:sz w:val="17"/>
          <w:szCs w:val="17"/>
          <w:color w:val="auto"/>
        </w:rPr>
        <w:t>shareholders’ voluntary winding up or a creditors’</w:t>
      </w:r>
    </w:p>
    <w:p>
      <w:pPr>
        <w:ind w:left="3140"/>
        <w:spacing w:after="0" w:line="237" w:lineRule="auto"/>
        <w:rPr>
          <w:sz w:val="20"/>
          <w:szCs w:val="20"/>
          <w:color w:val="auto"/>
        </w:rPr>
      </w:pPr>
      <w:r>
        <w:rPr>
          <w:rFonts w:ascii="Arial" w:cs="Arial" w:eastAsia="Arial" w:hAnsi="Arial"/>
          <w:sz w:val="17"/>
          <w:szCs w:val="17"/>
          <w:color w:val="auto"/>
        </w:rPr>
        <w:t>winding up. In the case of a shareholders’ voluntary</w:t>
      </w:r>
    </w:p>
    <w:p>
      <w:pPr>
        <w:ind w:left="3140"/>
        <w:spacing w:after="0" w:line="237" w:lineRule="auto"/>
        <w:rPr>
          <w:sz w:val="20"/>
          <w:szCs w:val="20"/>
          <w:color w:val="auto"/>
        </w:rPr>
      </w:pPr>
      <w:r>
        <w:rPr>
          <w:rFonts w:ascii="Arial" w:cs="Arial" w:eastAsia="Arial" w:hAnsi="Arial"/>
          <w:sz w:val="17"/>
          <w:szCs w:val="17"/>
          <w:color w:val="auto"/>
        </w:rPr>
        <w:t>winding up, a special resolution of our shareholders</w:t>
      </w:r>
    </w:p>
    <w:p>
      <w:pPr>
        <w:ind w:left="3140"/>
        <w:spacing w:after="0" w:line="237" w:lineRule="auto"/>
        <w:rPr>
          <w:sz w:val="20"/>
          <w:szCs w:val="20"/>
          <w:color w:val="auto"/>
        </w:rPr>
      </w:pPr>
      <w:r>
        <w:rPr>
          <w:rFonts w:ascii="Arial" w:cs="Arial" w:eastAsia="Arial" w:hAnsi="Arial"/>
          <w:sz w:val="17"/>
          <w:szCs w:val="17"/>
          <w:color w:val="auto"/>
        </w:rPr>
        <w:t>is required. We may also be dissolved by way of</w:t>
      </w:r>
    </w:p>
    <w:p>
      <w:pPr>
        <w:ind w:left="3140"/>
        <w:spacing w:after="0" w:line="237" w:lineRule="auto"/>
        <w:rPr>
          <w:sz w:val="20"/>
          <w:szCs w:val="20"/>
          <w:color w:val="auto"/>
        </w:rPr>
      </w:pPr>
      <w:r>
        <w:rPr>
          <w:rFonts w:ascii="Arial" w:cs="Arial" w:eastAsia="Arial" w:hAnsi="Arial"/>
          <w:sz w:val="17"/>
          <w:szCs w:val="17"/>
          <w:color w:val="auto"/>
        </w:rPr>
        <w:t>court order on the application of a creditor, or by the</w:t>
      </w:r>
    </w:p>
    <w:p>
      <w:pPr>
        <w:ind w:left="3140"/>
        <w:spacing w:after="0" w:line="237" w:lineRule="auto"/>
        <w:rPr>
          <w:sz w:val="20"/>
          <w:szCs w:val="20"/>
          <w:color w:val="auto"/>
        </w:rPr>
      </w:pPr>
      <w:r>
        <w:rPr>
          <w:rFonts w:ascii="Arial" w:cs="Arial" w:eastAsia="Arial" w:hAnsi="Arial"/>
          <w:sz w:val="17"/>
          <w:szCs w:val="17"/>
          <w:color w:val="auto"/>
        </w:rPr>
        <w:t>Companies Registration Office as an enforcement</w:t>
      </w:r>
    </w:p>
    <w:p>
      <w:pPr>
        <w:ind w:left="3140"/>
        <w:spacing w:after="0" w:line="238" w:lineRule="auto"/>
        <w:rPr>
          <w:sz w:val="20"/>
          <w:szCs w:val="20"/>
          <w:color w:val="auto"/>
        </w:rPr>
      </w:pPr>
      <w:r>
        <w:rPr>
          <w:rFonts w:ascii="Arial" w:cs="Arial" w:eastAsia="Arial" w:hAnsi="Arial"/>
          <w:sz w:val="17"/>
          <w:szCs w:val="17"/>
          <w:color w:val="auto"/>
        </w:rPr>
        <w:t>measure  where  we  have  failed  to  file  certain</w:t>
      </w:r>
    </w:p>
    <w:p>
      <w:pPr>
        <w:ind w:left="3140"/>
        <w:spacing w:after="0"/>
        <w:rPr>
          <w:sz w:val="20"/>
          <w:szCs w:val="20"/>
          <w:color w:val="auto"/>
        </w:rPr>
      </w:pPr>
      <w:r>
        <w:rPr>
          <w:rFonts w:ascii="Arial" w:cs="Arial" w:eastAsia="Arial" w:hAnsi="Arial"/>
          <w:sz w:val="17"/>
          <w:szCs w:val="17"/>
          <w:color w:val="auto"/>
        </w:rPr>
        <w:t>returns.</w:t>
      </w:r>
    </w:p>
    <w:p>
      <w:pPr>
        <w:spacing w:after="0" w:line="175"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The rights of the shareholders to a return of our</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assets on dissolution or winding up, following the</w:t>
      </w:r>
    </w:p>
    <w:p>
      <w:pPr>
        <w:ind w:left="3140"/>
        <w:spacing w:after="0" w:line="237" w:lineRule="auto"/>
        <w:rPr>
          <w:sz w:val="20"/>
          <w:szCs w:val="20"/>
          <w:color w:val="auto"/>
        </w:rPr>
      </w:pPr>
      <w:r>
        <w:rPr>
          <w:rFonts w:ascii="Arial" w:cs="Arial" w:eastAsia="Arial" w:hAnsi="Arial"/>
          <w:sz w:val="17"/>
          <w:szCs w:val="17"/>
          <w:color w:val="auto"/>
        </w:rPr>
        <w:t>settlement of all claims of creditors, are prescribed</w:t>
      </w:r>
    </w:p>
    <w:p>
      <w:pPr>
        <w:ind w:left="3140"/>
        <w:spacing w:after="0"/>
        <w:rPr>
          <w:sz w:val="20"/>
          <w:szCs w:val="20"/>
          <w:color w:val="auto"/>
        </w:rPr>
      </w:pPr>
      <w:r>
        <w:rPr>
          <w:rFonts w:ascii="Arial" w:cs="Arial" w:eastAsia="Arial" w:hAnsi="Arial"/>
          <w:sz w:val="17"/>
          <w:szCs w:val="17"/>
          <w:color w:val="auto"/>
        </w:rPr>
        <w:t>in the Constitution.</w:t>
      </w:r>
    </w:p>
    <w:p>
      <w:pPr>
        <w:spacing w:after="0" w:line="278"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Amendment of Constitution</w:t>
      </w:r>
      <w:r>
        <w:rPr>
          <w:sz w:val="20"/>
          <w:szCs w:val="20"/>
          <w:color w:val="auto"/>
        </w:rPr>
        <w:tab/>
      </w:r>
      <w:r>
        <w:rPr>
          <w:rFonts w:ascii="Arial" w:cs="Arial" w:eastAsia="Arial" w:hAnsi="Arial"/>
          <w:sz w:val="17"/>
          <w:szCs w:val="17"/>
          <w:color w:val="auto"/>
        </w:rPr>
        <w:t>Irish company law requires a special resolution of</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our shareholders (approval by not less than 75% of</w:t>
      </w:r>
    </w:p>
    <w:p>
      <w:pPr>
        <w:ind w:left="3140"/>
        <w:spacing w:after="0"/>
        <w:tabs>
          <w:tab w:leader="none" w:pos="3500" w:val="left"/>
          <w:tab w:leader="none" w:pos="4060" w:val="left"/>
          <w:tab w:leader="none" w:pos="4520" w:val="left"/>
          <w:tab w:leader="none" w:pos="4820" w:val="left"/>
          <w:tab w:leader="none" w:pos="5060" w:val="left"/>
          <w:tab w:leader="none" w:pos="5780" w:val="left"/>
          <w:tab w:leader="none" w:pos="6540" w:val="left"/>
          <w:tab w:leader="none" w:pos="6820" w:val="left"/>
        </w:tabs>
        <w:rPr>
          <w:sz w:val="20"/>
          <w:szCs w:val="20"/>
          <w:color w:val="auto"/>
        </w:rPr>
      </w:pPr>
      <w:r>
        <w:rPr>
          <w:rFonts w:ascii="Arial" w:cs="Arial" w:eastAsia="Arial" w:hAnsi="Arial"/>
          <w:sz w:val="17"/>
          <w:szCs w:val="17"/>
          <w:color w:val="auto"/>
        </w:rPr>
        <w:t>the</w:t>
        <w:tab/>
        <w:t>votes</w:t>
        <w:tab/>
        <w:t>cast</w:t>
        <w:tab/>
        <w:t>at</w:t>
        <w:tab/>
        <w:t>a</w:t>
        <w:tab/>
        <w:t>general</w:t>
        <w:tab/>
        <w:t>meeting</w:t>
        <w:tab/>
        <w:t>of</w:t>
      </w:r>
      <w:r>
        <w:rPr>
          <w:sz w:val="20"/>
          <w:szCs w:val="20"/>
          <w:color w:val="auto"/>
        </w:rPr>
        <w:tab/>
      </w:r>
      <w:r>
        <w:rPr>
          <w:rFonts w:ascii="Arial" w:cs="Arial" w:eastAsia="Arial" w:hAnsi="Arial"/>
          <w:sz w:val="16"/>
          <w:szCs w:val="16"/>
          <w:color w:val="auto"/>
        </w:rPr>
        <w:t>our</w:t>
      </w:r>
    </w:p>
    <w:p>
      <w:pPr>
        <w:ind w:left="3140"/>
        <w:spacing w:after="0" w:line="237" w:lineRule="auto"/>
        <w:rPr>
          <w:sz w:val="20"/>
          <w:szCs w:val="20"/>
          <w:color w:val="auto"/>
        </w:rPr>
      </w:pPr>
      <w:r>
        <w:rPr>
          <w:rFonts w:ascii="Arial" w:cs="Arial" w:eastAsia="Arial" w:hAnsi="Arial"/>
          <w:sz w:val="17"/>
          <w:szCs w:val="17"/>
          <w:color w:val="auto"/>
        </w:rPr>
        <w:t>shareholders) to approve any amendments to the</w:t>
      </w:r>
    </w:p>
    <w:p>
      <w:pPr>
        <w:ind w:left="3140"/>
        <w:spacing w:after="0"/>
        <w:rPr>
          <w:sz w:val="20"/>
          <w:szCs w:val="20"/>
          <w:color w:val="auto"/>
        </w:rPr>
      </w:pPr>
      <w:r>
        <w:rPr>
          <w:rFonts w:ascii="Arial" w:cs="Arial" w:eastAsia="Arial" w:hAnsi="Arial"/>
          <w:sz w:val="17"/>
          <w:szCs w:val="17"/>
          <w:color w:val="auto"/>
        </w:rPr>
        <w:t>Constitution.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Upon the dissolution of a Delaware corporation, after satisfaction of the claims of creditors, the assets of that corporation would be distributed to stockholders in accordance with their respective interests, including any rights a holder of shares of preference shares may have to preferred distributions upon dissolution or liquidation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Amendment of Certification of Incorporation and Bylaws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Under Delaware law, amendments to a corporation’s certificate of incorporation require the approval of stockholders holding a majority of the outstanding shares entitled to vote on the amendment.</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ectPr>
          <w:pgSz w:w="11900" w:h="16838" w:orient="portrait"/>
          <w:cols w:equalWidth="0" w:num="2">
            <w:col w:w="7100" w:space="200"/>
            <w:col w:w="3840"/>
          </w:cols>
          <w:pgMar w:left="320" w:top="233"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EE"/>
        </w:rPr>
        <w:t>Table of Contents</w:t>
      </w:r>
    </w:p>
    <w:p>
      <w:pPr>
        <w:sectPr>
          <w:pgSz w:w="11900" w:h="16838" w:orient="portrait"/>
          <w:cols w:equalWidth="0" w:num="1">
            <w:col w:w="11140"/>
          </w:cols>
          <w:pgMar w:left="320" w:top="233" w:right="4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2640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96" w:lineRule="exact"/>
        <w:rPr>
          <w:sz w:val="20"/>
          <w:szCs w:val="20"/>
          <w:color w:val="auto"/>
        </w:rPr>
      </w:pPr>
    </w:p>
    <w:p>
      <w:pPr>
        <w:jc w:val="center"/>
        <w:ind w:right="20"/>
        <w:spacing w:after="0"/>
        <w:tabs>
          <w:tab w:leader="none" w:pos="140" w:val="left"/>
          <w:tab w:leader="none" w:pos="140" w:val="left"/>
          <w:tab w:leader="none" w:pos="140" w:val="left"/>
          <w:tab w:leader="none" w:pos="140" w:val="left"/>
        </w:tabs>
        <w:rPr>
          <w:sz w:val="20"/>
          <w:szCs w:val="20"/>
          <w:color w:val="auto"/>
        </w:rPr>
      </w:pPr>
      <w:r>
        <w:rPr>
          <w:rFonts w:ascii="Arial" w:cs="Arial" w:eastAsia="Arial" w:hAnsi="Arial"/>
          <w:sz w:val="17"/>
          <w:szCs w:val="17"/>
          <w:color w:val="auto"/>
        </w:rPr>
        <w:t>Acquisition</w:t>
        <w:tab/>
        <w:t>of</w:t>
        <w:tab/>
        <w:t>Treasury</w:t>
        <w:tab/>
        <w:t>Share</w:t>
        <w:tab/>
        <w:t>and We may reduce our authorized but unissued share</w:t>
      </w:r>
    </w:p>
    <w:p>
      <w:pPr>
        <w:spacing w:after="0" w:line="14" w:lineRule="exact"/>
        <w:rPr>
          <w:sz w:val="20"/>
          <w:szCs w:val="20"/>
          <w:color w:val="auto"/>
        </w:rPr>
      </w:pPr>
    </w:p>
    <w:p>
      <w:pPr>
        <w:jc w:val="both"/>
        <w:ind w:left="3140" w:hanging="3141"/>
        <w:spacing w:after="0" w:line="239" w:lineRule="auto"/>
        <w:tabs>
          <w:tab w:leader="none" w:pos="3120" w:val="left"/>
        </w:tabs>
        <w:rPr>
          <w:sz w:val="20"/>
          <w:szCs w:val="20"/>
          <w:color w:val="auto"/>
        </w:rPr>
      </w:pPr>
      <w:r>
        <w:rPr>
          <w:rFonts w:ascii="Arial" w:cs="Arial" w:eastAsia="Arial" w:hAnsi="Arial"/>
          <w:sz w:val="17"/>
          <w:szCs w:val="17"/>
          <w:color w:val="auto"/>
        </w:rPr>
        <w:t>Reduction of Share Capital</w:t>
      </w:r>
      <w:r>
        <w:rPr>
          <w:sz w:val="20"/>
          <w:szCs w:val="20"/>
          <w:color w:val="auto"/>
        </w:rPr>
        <w:tab/>
      </w:r>
      <w:r>
        <w:rPr>
          <w:rFonts w:ascii="Arial" w:cs="Arial" w:eastAsia="Arial" w:hAnsi="Arial"/>
          <w:sz w:val="17"/>
          <w:szCs w:val="17"/>
          <w:color w:val="auto"/>
        </w:rPr>
        <w:t>capital in any manner permitted by the Irish Companies Act. We also may, by special resolution (approved by not less than 75% of the votes cast at a general meeting of our shareholders) and subject to confirmation by the Irish High Court, reduce our issued share capital in any way permitted by the Irish Companies Act.</w:t>
      </w:r>
    </w:p>
    <w:p>
      <w:pPr>
        <w:spacing w:after="0" w:line="167" w:lineRule="exact"/>
        <w:rPr>
          <w:sz w:val="20"/>
          <w:szCs w:val="20"/>
          <w:color w:val="auto"/>
        </w:rPr>
      </w:pPr>
    </w:p>
    <w:p>
      <w:pPr>
        <w:jc w:val="both"/>
        <w:ind w:left="3140"/>
        <w:spacing w:after="0" w:line="246" w:lineRule="auto"/>
        <w:rPr>
          <w:sz w:val="20"/>
          <w:szCs w:val="20"/>
          <w:color w:val="auto"/>
        </w:rPr>
      </w:pPr>
      <w:r>
        <w:rPr>
          <w:rFonts w:ascii="Arial" w:cs="Arial" w:eastAsia="Arial" w:hAnsi="Arial"/>
          <w:sz w:val="17"/>
          <w:szCs w:val="17"/>
          <w:color w:val="auto"/>
        </w:rPr>
        <w:t>For purposes of Irish law, repurchases of our shares may be effected by a redemption if the repurchased shares are redeemable shares or are deemed to be redeemable shares by the Constitution.</w:t>
      </w:r>
    </w:p>
    <w:p>
      <w:pPr>
        <w:spacing w:after="0" w:line="358" w:lineRule="exact"/>
        <w:rPr>
          <w:sz w:val="20"/>
          <w:szCs w:val="20"/>
          <w:color w:val="auto"/>
        </w:rPr>
      </w:pPr>
    </w:p>
    <w:p>
      <w:pPr>
        <w:jc w:val="both"/>
        <w:ind w:left="3140"/>
        <w:spacing w:after="0"/>
        <w:rPr>
          <w:sz w:val="20"/>
          <w:szCs w:val="20"/>
          <w:color w:val="auto"/>
        </w:rPr>
      </w:pPr>
      <w:r>
        <w:rPr>
          <w:rFonts w:ascii="Arial" w:cs="Arial" w:eastAsia="Arial" w:hAnsi="Arial"/>
          <w:sz w:val="17"/>
          <w:szCs w:val="17"/>
          <w:color w:val="auto"/>
        </w:rPr>
        <w:t>The Constitution provides that, unless the Board of Directors determines otherwise, each of our shares shall be deemed to be a redeemable share on, and from the time of, the existence or creation of an agreement, transaction or trade between us and any person pursuant to which we acquire or will acquire our shares, or an interest in our shares, from the relevant person. Redeemable shares of ours shall have the same characteristics as any other of our shares save that they shall be redeemable in accordance with the arrangement.</w:t>
      </w:r>
    </w:p>
    <w:p>
      <w:pPr>
        <w:spacing w:after="0" w:line="78"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Rights of Inspection</w:t>
      </w:r>
      <w:r>
        <w:rPr>
          <w:sz w:val="20"/>
          <w:szCs w:val="20"/>
          <w:color w:val="auto"/>
        </w:rPr>
        <w:tab/>
      </w:r>
      <w:r>
        <w:rPr>
          <w:rFonts w:ascii="Arial" w:cs="Arial" w:eastAsia="Arial" w:hAnsi="Arial"/>
          <w:sz w:val="17"/>
          <w:szCs w:val="17"/>
          <w:color w:val="auto"/>
        </w:rPr>
        <w:t>Under Irish law, our shareholders have the right to:</w:t>
      </w:r>
    </w:p>
    <w:p>
      <w:pPr>
        <w:spacing w:after="0" w:line="14" w:lineRule="exact"/>
        <w:rPr>
          <w:sz w:val="20"/>
          <w:szCs w:val="20"/>
          <w:color w:val="auto"/>
        </w:rPr>
      </w:pPr>
    </w:p>
    <w:p>
      <w:pPr>
        <w:jc w:val="both"/>
        <w:ind w:left="3140" w:firstLine="5"/>
        <w:spacing w:after="0" w:line="238" w:lineRule="auto"/>
        <w:tabs>
          <w:tab w:leader="none" w:pos="3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receive a copy of the Constitution; (ii) inspect and obtain copies of the minutes of our general meetings and resolutions; (iii) inspect and receive a copy of our register of members, register of directors and secretaries, register of directors’ interests, register of directors’ service contracts and memoranda and other statutory registers that we maintain; (iv) receive copies of balance sheets and directors’ and auditors’ reports that have previously been sent to our shareholders prior to an annual general meeting; and (v) receive balance sheets of any of our subsidiaries that have previously been sent to our shareholders prior to an annual general meeting for the preceding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436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Under Delaware law, a corporation, by an affirmative vote of a majority of the board of directors, may reduce its capital by reducing or eliminating the capital represented by shares of capital stock which have been retired, by applying to an already authorized purchase redemption, conversion or exchange of outstanding shares of its capital stock some or all of the capital represented by shares being purchased, redeemed, converted or exchanged or any capital that has not been allocated to any particular class of capital stock or by transferring to surplus capital some or all of the capital not represented by any particular class of its capital stock or the capital associated with certain issued shares of its par value capital stock. No reduction of capital may be made unless the assets of the corporation remaining after the reduction are sufficient to pay any debts for which payment has not otherwise been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Delaware law allows any stockholder in person or by attorney or other agent, upon written demand under oath stating the purpose thereof, during the usual hours for business to inspect for any proper purpose, and to make copies and extracts from:</w:t>
      </w:r>
    </w:p>
    <w:p>
      <w:pPr>
        <w:spacing w:after="0" w:line="157" w:lineRule="exact"/>
        <w:rPr>
          <w:sz w:val="20"/>
          <w:szCs w:val="20"/>
          <w:color w:val="auto"/>
        </w:rPr>
      </w:pPr>
    </w:p>
    <w:p>
      <w:pPr>
        <w:jc w:val="both"/>
        <w:ind w:firstLine="4"/>
        <w:spacing w:after="0" w:line="260" w:lineRule="auto"/>
        <w:tabs>
          <w:tab w:leader="none" w:pos="31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corporation’s stock ledger, a list of its stockholders, and its other books and records; and</w:t>
      </w:r>
    </w:p>
    <w:p>
      <w:pPr>
        <w:spacing w:after="0" w:line="349" w:lineRule="exact"/>
        <w:rPr>
          <w:rFonts w:ascii="Arial" w:cs="Arial" w:eastAsia="Arial" w:hAnsi="Arial"/>
          <w:sz w:val="17"/>
          <w:szCs w:val="17"/>
          <w:color w:val="auto"/>
        </w:rPr>
      </w:pPr>
    </w:p>
    <w:p>
      <w:pPr>
        <w:ind w:firstLine="4"/>
        <w:spacing w:after="0" w:line="273" w:lineRule="auto"/>
        <w:tabs>
          <w:tab w:leader="none" w:pos="2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subsidiary’s books and records, to the extent that:</w:t>
      </w:r>
    </w:p>
    <w:p>
      <w:pPr>
        <w:spacing w:after="0" w:line="135" w:lineRule="exact"/>
        <w:rPr>
          <w:sz w:val="20"/>
          <w:szCs w:val="20"/>
          <w:color w:val="auto"/>
        </w:rPr>
      </w:pPr>
    </w:p>
    <w:p>
      <w:pPr>
        <w:ind w:firstLine="4"/>
        <w:spacing w:after="0" w:line="273" w:lineRule="auto"/>
        <w:tabs>
          <w:tab w:leader="none" w:pos="31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corporation has actual possession and control of such records of such subsidiary; or</w:t>
      </w:r>
    </w:p>
    <w:p>
      <w:pPr>
        <w:spacing w:after="0" w:line="134" w:lineRule="exact"/>
        <w:rPr>
          <w:rFonts w:ascii="Arial" w:cs="Arial" w:eastAsia="Arial" w:hAnsi="Arial"/>
          <w:sz w:val="17"/>
          <w:szCs w:val="17"/>
          <w:color w:val="auto"/>
        </w:rPr>
      </w:pPr>
    </w:p>
    <w:p>
      <w:pPr>
        <w:jc w:val="both"/>
        <w:ind w:firstLine="4"/>
        <w:spacing w:after="0" w:line="249"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corporation could obtain such records through the exercise of control over such subsidiary, provided that as of the date of the making of the demand:</w:t>
      </w:r>
    </w:p>
    <w:p>
      <w:pPr>
        <w:sectPr>
          <w:pgSz w:w="11900" w:h="16838" w:orient="portrait"/>
          <w:cols w:equalWidth="0" w:num="2">
            <w:col w:w="7100" w:space="200"/>
            <w:col w:w="3840"/>
          </w:cols>
          <w:pgMar w:left="320" w:top="233"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Liability of Directors and Officers</w:t>
      </w:r>
      <w:r>
        <w:rPr>
          <w:sz w:val="20"/>
          <w:szCs w:val="20"/>
          <w:color w:val="auto"/>
        </w:rPr>
        <w:tab/>
      </w:r>
      <w:r>
        <w:rPr>
          <w:rFonts w:ascii="Arial" w:cs="Arial" w:eastAsia="Arial" w:hAnsi="Arial"/>
          <w:sz w:val="17"/>
          <w:szCs w:val="17"/>
          <w:color w:val="auto"/>
        </w:rPr>
        <w:t>To the fullest extent permitted by Irish law, the</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Constitution contains indemnification for the benefit</w:t>
      </w:r>
    </w:p>
    <w:p>
      <w:pPr>
        <w:ind w:left="3140"/>
        <w:spacing w:after="0" w:line="237" w:lineRule="auto"/>
        <w:rPr>
          <w:sz w:val="20"/>
          <w:szCs w:val="20"/>
          <w:color w:val="auto"/>
        </w:rPr>
      </w:pPr>
      <w:r>
        <w:rPr>
          <w:rFonts w:ascii="Arial" w:cs="Arial" w:eastAsia="Arial" w:hAnsi="Arial"/>
          <w:sz w:val="17"/>
          <w:szCs w:val="17"/>
          <w:color w:val="auto"/>
        </w:rPr>
        <w:t>of, among others, our directors, company secretary</w:t>
      </w:r>
    </w:p>
    <w:p>
      <w:pPr>
        <w:jc w:val="right"/>
        <w:spacing w:after="0" w:line="237" w:lineRule="auto"/>
        <w:rPr>
          <w:sz w:val="20"/>
          <w:szCs w:val="20"/>
          <w:color w:val="auto"/>
        </w:rPr>
      </w:pPr>
      <w:r>
        <w:rPr>
          <w:rFonts w:ascii="Arial" w:cs="Arial" w:eastAsia="Arial" w:hAnsi="Arial"/>
          <w:sz w:val="17"/>
          <w:szCs w:val="17"/>
          <w:color w:val="auto"/>
        </w:rPr>
        <w:t>and executive officers. However, as to our directors</w:t>
      </w:r>
    </w:p>
    <w:p>
      <w:pPr>
        <w:ind w:left="3140"/>
        <w:spacing w:after="0" w:line="237" w:lineRule="auto"/>
        <w:rPr>
          <w:sz w:val="20"/>
          <w:szCs w:val="20"/>
          <w:color w:val="auto"/>
        </w:rPr>
      </w:pPr>
      <w:r>
        <w:rPr>
          <w:rFonts w:ascii="Arial" w:cs="Arial" w:eastAsia="Arial" w:hAnsi="Arial"/>
          <w:sz w:val="17"/>
          <w:szCs w:val="17"/>
          <w:color w:val="auto"/>
        </w:rPr>
        <w:t>and company secretary, this indemnity is limited by</w:t>
      </w:r>
    </w:p>
    <w:p>
      <w:pPr>
        <w:ind w:left="3140"/>
        <w:spacing w:after="0" w:line="237" w:lineRule="auto"/>
        <w:rPr>
          <w:sz w:val="20"/>
          <w:szCs w:val="20"/>
          <w:color w:val="auto"/>
        </w:rPr>
      </w:pPr>
      <w:r>
        <w:rPr>
          <w:rFonts w:ascii="Arial" w:cs="Arial" w:eastAsia="Arial" w:hAnsi="Arial"/>
          <w:sz w:val="17"/>
          <w:szCs w:val="17"/>
          <w:color w:val="auto"/>
        </w:rPr>
        <w:t>the Irish Companies Act, which prescribes that an</w:t>
      </w:r>
    </w:p>
    <w:p>
      <w:pPr>
        <w:ind w:left="3140"/>
        <w:spacing w:after="0" w:line="237" w:lineRule="auto"/>
        <w:rPr>
          <w:sz w:val="20"/>
          <w:szCs w:val="20"/>
          <w:color w:val="auto"/>
        </w:rPr>
      </w:pPr>
      <w:r>
        <w:rPr>
          <w:rFonts w:ascii="Arial" w:cs="Arial" w:eastAsia="Arial" w:hAnsi="Arial"/>
          <w:sz w:val="17"/>
          <w:szCs w:val="17"/>
          <w:color w:val="auto"/>
        </w:rPr>
        <w:t>advance commitment to indemnify only permits a</w:t>
      </w:r>
    </w:p>
    <w:p>
      <w:pPr>
        <w:ind w:left="3140"/>
        <w:spacing w:after="0" w:line="237" w:lineRule="auto"/>
        <w:rPr>
          <w:sz w:val="20"/>
          <w:szCs w:val="20"/>
          <w:color w:val="auto"/>
        </w:rPr>
      </w:pPr>
      <w:r>
        <w:rPr>
          <w:rFonts w:ascii="Arial" w:cs="Arial" w:eastAsia="Arial" w:hAnsi="Arial"/>
          <w:sz w:val="17"/>
          <w:szCs w:val="17"/>
          <w:color w:val="auto"/>
        </w:rPr>
        <w:t>company to pay the costs or discharge the liability</w:t>
      </w:r>
    </w:p>
    <w:p>
      <w:pPr>
        <w:ind w:left="3140"/>
        <w:spacing w:after="0" w:line="238" w:lineRule="auto"/>
        <w:rPr>
          <w:sz w:val="20"/>
          <w:szCs w:val="20"/>
          <w:color w:val="auto"/>
        </w:rPr>
      </w:pPr>
      <w:r>
        <w:rPr>
          <w:rFonts w:ascii="Arial" w:cs="Arial" w:eastAsia="Arial" w:hAnsi="Arial"/>
          <w:sz w:val="17"/>
          <w:szCs w:val="17"/>
          <w:color w:val="auto"/>
        </w:rPr>
        <w:t>of a director or company secretary where judgment</w:t>
      </w:r>
    </w:p>
    <w:p>
      <w:pPr>
        <w:ind w:left="3140"/>
        <w:spacing w:after="0" w:line="237" w:lineRule="auto"/>
        <w:rPr>
          <w:sz w:val="20"/>
          <w:szCs w:val="20"/>
          <w:color w:val="auto"/>
        </w:rPr>
      </w:pPr>
      <w:r>
        <w:rPr>
          <w:rFonts w:ascii="Arial" w:cs="Arial" w:eastAsia="Arial" w:hAnsi="Arial"/>
          <w:sz w:val="17"/>
          <w:szCs w:val="17"/>
          <w:color w:val="auto"/>
        </w:rPr>
        <w:t>is  given  in  favor  of  the  director  or  company</w:t>
      </w:r>
    </w:p>
    <w:p>
      <w:pPr>
        <w:ind w:left="3140"/>
        <w:spacing w:after="0" w:line="237" w:lineRule="auto"/>
        <w:rPr>
          <w:sz w:val="20"/>
          <w:szCs w:val="20"/>
          <w:color w:val="auto"/>
        </w:rPr>
      </w:pPr>
      <w:r>
        <w:rPr>
          <w:rFonts w:ascii="Arial" w:cs="Arial" w:eastAsia="Arial" w:hAnsi="Arial"/>
          <w:sz w:val="17"/>
          <w:szCs w:val="17"/>
          <w:color w:val="auto"/>
        </w:rPr>
        <w:t>secretary in any civil or criminal action in respect of</w:t>
      </w:r>
    </w:p>
    <w:p>
      <w:pPr>
        <w:ind w:left="3140"/>
        <w:spacing w:after="0" w:line="237" w:lineRule="auto"/>
        <w:rPr>
          <w:sz w:val="20"/>
          <w:szCs w:val="20"/>
          <w:color w:val="auto"/>
        </w:rPr>
      </w:pPr>
      <w:r>
        <w:rPr>
          <w:rFonts w:ascii="Arial" w:cs="Arial" w:eastAsia="Arial" w:hAnsi="Arial"/>
          <w:sz w:val="17"/>
          <w:szCs w:val="17"/>
          <w:color w:val="auto"/>
        </w:rPr>
        <w:t>such costs or liability, or where an Irish court grants</w:t>
      </w:r>
    </w:p>
    <w:p>
      <w:pPr>
        <w:ind w:left="3140"/>
        <w:spacing w:after="0" w:line="237" w:lineRule="auto"/>
        <w:rPr>
          <w:sz w:val="20"/>
          <w:szCs w:val="20"/>
          <w:color w:val="auto"/>
        </w:rPr>
      </w:pPr>
      <w:r>
        <w:rPr>
          <w:rFonts w:ascii="Arial" w:cs="Arial" w:eastAsia="Arial" w:hAnsi="Arial"/>
          <w:sz w:val="17"/>
          <w:szCs w:val="17"/>
          <w:color w:val="auto"/>
        </w:rPr>
        <w:t>relief because the director or company secretary</w:t>
      </w:r>
    </w:p>
    <w:p>
      <w:pPr>
        <w:ind w:left="3140"/>
        <w:spacing w:after="0" w:line="237" w:lineRule="auto"/>
        <w:rPr>
          <w:sz w:val="20"/>
          <w:szCs w:val="20"/>
          <w:color w:val="auto"/>
        </w:rPr>
      </w:pPr>
      <w:r>
        <w:rPr>
          <w:rFonts w:ascii="Arial" w:cs="Arial" w:eastAsia="Arial" w:hAnsi="Arial"/>
          <w:sz w:val="17"/>
          <w:szCs w:val="17"/>
          <w:color w:val="auto"/>
        </w:rPr>
        <w:t>acted honestly and reasonably and ought fairly to</w:t>
      </w:r>
    </w:p>
    <w:p>
      <w:pPr>
        <w:ind w:left="3140"/>
        <w:spacing w:after="0"/>
        <w:tabs>
          <w:tab w:leader="none" w:pos="3480" w:val="left"/>
          <w:tab w:leader="none" w:pos="4320" w:val="left"/>
          <w:tab w:leader="none" w:pos="4760" w:val="left"/>
          <w:tab w:leader="none" w:pos="5600" w:val="left"/>
          <w:tab w:leader="none" w:pos="6400" w:val="left"/>
          <w:tab w:leader="none" w:pos="6740" w:val="left"/>
        </w:tabs>
        <w:rPr>
          <w:sz w:val="20"/>
          <w:szCs w:val="20"/>
          <w:color w:val="auto"/>
        </w:rPr>
      </w:pPr>
      <w:r>
        <w:rPr>
          <w:rFonts w:ascii="Arial" w:cs="Arial" w:eastAsia="Arial" w:hAnsi="Arial"/>
          <w:sz w:val="17"/>
          <w:szCs w:val="17"/>
          <w:color w:val="auto"/>
        </w:rPr>
        <w:t>be</w:t>
        <w:tab/>
        <w:t>excused.</w:t>
        <w:tab/>
        <w:t>Any</w:t>
        <w:tab/>
        <w:t>provision</w:t>
        <w:tab/>
        <w:t>whereby</w:t>
        <w:tab/>
        <w:t>an</w:t>
      </w:r>
      <w:r>
        <w:rPr>
          <w:sz w:val="20"/>
          <w:szCs w:val="20"/>
          <w:color w:val="auto"/>
        </w:rPr>
        <w:tab/>
      </w:r>
      <w:r>
        <w:rPr>
          <w:rFonts w:ascii="Arial" w:cs="Arial" w:eastAsia="Arial" w:hAnsi="Arial"/>
          <w:sz w:val="16"/>
          <w:szCs w:val="16"/>
          <w:color w:val="auto"/>
        </w:rPr>
        <w:t>Irish</w:t>
      </w:r>
    </w:p>
    <w:p>
      <w:pPr>
        <w:ind w:left="3140"/>
        <w:spacing w:after="0" w:line="237" w:lineRule="auto"/>
        <w:rPr>
          <w:sz w:val="20"/>
          <w:szCs w:val="20"/>
          <w:color w:val="auto"/>
        </w:rPr>
      </w:pPr>
      <w:r>
        <w:rPr>
          <w:rFonts w:ascii="Arial" w:cs="Arial" w:eastAsia="Arial" w:hAnsi="Arial"/>
          <w:sz w:val="17"/>
          <w:szCs w:val="17"/>
          <w:color w:val="auto"/>
        </w:rPr>
        <w:t>company seeks to commit in advance to indemnify</w:t>
      </w:r>
    </w:p>
    <w:p>
      <w:pPr>
        <w:ind w:left="3140"/>
        <w:spacing w:after="0" w:line="237" w:lineRule="auto"/>
        <w:rPr>
          <w:sz w:val="20"/>
          <w:szCs w:val="20"/>
          <w:color w:val="auto"/>
        </w:rPr>
      </w:pPr>
      <w:r>
        <w:rPr>
          <w:rFonts w:ascii="Arial" w:cs="Arial" w:eastAsia="Arial" w:hAnsi="Arial"/>
          <w:sz w:val="17"/>
          <w:szCs w:val="17"/>
          <w:color w:val="auto"/>
        </w:rPr>
        <w:t>its directors or company secretary over and above</w:t>
      </w:r>
    </w:p>
    <w:p>
      <w:pPr>
        <w:ind w:left="3140"/>
        <w:spacing w:after="0" w:line="237" w:lineRule="auto"/>
        <w:rPr>
          <w:sz w:val="20"/>
          <w:szCs w:val="20"/>
          <w:color w:val="auto"/>
        </w:rPr>
      </w:pPr>
      <w:r>
        <w:rPr>
          <w:rFonts w:ascii="Arial" w:cs="Arial" w:eastAsia="Arial" w:hAnsi="Arial"/>
          <w:sz w:val="17"/>
          <w:szCs w:val="17"/>
          <w:color w:val="auto"/>
        </w:rPr>
        <w:t>the limitations imposed by the Irish Companies Act</w:t>
      </w:r>
    </w:p>
    <w:p>
      <w:pPr>
        <w:ind w:left="3140"/>
        <w:spacing w:after="0" w:line="237" w:lineRule="auto"/>
        <w:rPr>
          <w:sz w:val="20"/>
          <w:szCs w:val="20"/>
          <w:color w:val="auto"/>
        </w:rPr>
      </w:pPr>
      <w:r>
        <w:rPr>
          <w:rFonts w:ascii="Arial" w:cs="Arial" w:eastAsia="Arial" w:hAnsi="Arial"/>
          <w:sz w:val="17"/>
          <w:szCs w:val="17"/>
          <w:color w:val="auto"/>
        </w:rPr>
        <w:t>will be void, whether contained in its Constitution or</w:t>
      </w:r>
    </w:p>
    <w:p>
      <w:pPr>
        <w:ind w:left="3140"/>
        <w:spacing w:after="0" w:line="237" w:lineRule="auto"/>
        <w:rPr>
          <w:sz w:val="20"/>
          <w:szCs w:val="20"/>
          <w:color w:val="auto"/>
        </w:rPr>
      </w:pPr>
      <w:r>
        <w:rPr>
          <w:rFonts w:ascii="Arial" w:cs="Arial" w:eastAsia="Arial" w:hAnsi="Arial"/>
          <w:sz w:val="17"/>
          <w:szCs w:val="17"/>
          <w:color w:val="auto"/>
        </w:rPr>
        <w:t>any contract between the company and the director</w:t>
      </w:r>
    </w:p>
    <w:p>
      <w:pPr>
        <w:ind w:left="3140"/>
        <w:spacing w:after="0" w:line="238" w:lineRule="auto"/>
        <w:rPr>
          <w:sz w:val="20"/>
          <w:szCs w:val="20"/>
          <w:color w:val="auto"/>
        </w:rPr>
      </w:pPr>
      <w:r>
        <w:rPr>
          <w:rFonts w:ascii="Arial" w:cs="Arial" w:eastAsia="Arial" w:hAnsi="Arial"/>
          <w:sz w:val="17"/>
          <w:szCs w:val="17"/>
          <w:color w:val="auto"/>
        </w:rPr>
        <w:t>or company secretary. This restriction does not</w:t>
      </w:r>
    </w:p>
    <w:p>
      <w:pPr>
        <w:ind w:left="3140"/>
        <w:spacing w:after="0" w:line="237" w:lineRule="auto"/>
        <w:tabs>
          <w:tab w:leader="none" w:pos="3680" w:val="left"/>
          <w:tab w:leader="none" w:pos="3980" w:val="left"/>
          <w:tab w:leader="none" w:pos="4380" w:val="left"/>
          <w:tab w:leader="none" w:pos="5260" w:val="left"/>
          <w:tab w:leader="none" w:pos="5960" w:val="left"/>
          <w:tab w:leader="none" w:pos="6440" w:val="left"/>
          <w:tab w:leader="none" w:pos="6840" w:val="left"/>
        </w:tabs>
        <w:rPr>
          <w:sz w:val="20"/>
          <w:szCs w:val="20"/>
          <w:color w:val="auto"/>
        </w:rPr>
      </w:pPr>
      <w:r>
        <w:rPr>
          <w:rFonts w:ascii="Arial" w:cs="Arial" w:eastAsia="Arial" w:hAnsi="Arial"/>
          <w:sz w:val="17"/>
          <w:szCs w:val="17"/>
          <w:color w:val="auto"/>
        </w:rPr>
        <w:t>apply</w:t>
        <w:tab/>
        <w:t>to</w:t>
        <w:tab/>
        <w:t>our</w:t>
        <w:tab/>
        <w:t>executive</w:t>
        <w:tab/>
        <w:t>officers</w:t>
        <w:tab/>
        <w:t>who</w:t>
        <w:tab/>
        <w:t>are</w:t>
        <w:tab/>
        <w:t>not</w:t>
      </w:r>
    </w:p>
    <w:p>
      <w:pPr>
        <w:ind w:left="3140"/>
        <w:spacing w:after="0" w:line="237" w:lineRule="auto"/>
        <w:rPr>
          <w:sz w:val="20"/>
          <w:szCs w:val="20"/>
          <w:color w:val="auto"/>
        </w:rPr>
      </w:pPr>
      <w:r>
        <w:rPr>
          <w:rFonts w:ascii="Arial" w:cs="Arial" w:eastAsia="Arial" w:hAnsi="Arial"/>
          <w:sz w:val="17"/>
          <w:szCs w:val="17"/>
          <w:color w:val="auto"/>
        </w:rPr>
        <w:t>directors, our company secretary or other persons</w:t>
      </w:r>
    </w:p>
    <w:p>
      <w:pPr>
        <w:ind w:left="3140"/>
        <w:spacing w:after="0" w:line="237" w:lineRule="auto"/>
        <w:rPr>
          <w:sz w:val="20"/>
          <w:szCs w:val="20"/>
          <w:color w:val="auto"/>
        </w:rPr>
      </w:pPr>
      <w:r>
        <w:rPr>
          <w:rFonts w:ascii="Arial" w:cs="Arial" w:eastAsia="Arial" w:hAnsi="Arial"/>
          <w:sz w:val="17"/>
          <w:szCs w:val="17"/>
          <w:color w:val="auto"/>
        </w:rPr>
        <w:t>who  would  be  considered  “officers”  within  the</w:t>
      </w:r>
    </w:p>
    <w:p>
      <w:pPr>
        <w:ind w:left="3140"/>
        <w:spacing w:after="0"/>
        <w:rPr>
          <w:sz w:val="20"/>
          <w:szCs w:val="20"/>
          <w:color w:val="auto"/>
        </w:rPr>
      </w:pPr>
      <w:r>
        <w:rPr>
          <w:rFonts w:ascii="Arial" w:cs="Arial" w:eastAsia="Arial" w:hAnsi="Arial"/>
          <w:sz w:val="17"/>
          <w:szCs w:val="17"/>
          <w:color w:val="auto"/>
        </w:rPr>
        <w:t>meaning of the Irish Companies Act.</w:t>
      </w:r>
    </w:p>
    <w:p>
      <w:pPr>
        <w:spacing w:after="0" w:line="175"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The Constitution also contains indemnification and</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expense advancement provisions for persons who</w:t>
      </w:r>
    </w:p>
    <w:p>
      <w:pPr>
        <w:ind w:left="3140"/>
        <w:spacing w:after="0"/>
        <w:rPr>
          <w:sz w:val="20"/>
          <w:szCs w:val="20"/>
          <w:color w:val="auto"/>
        </w:rPr>
      </w:pPr>
      <w:r>
        <w:rPr>
          <w:rFonts w:ascii="Arial" w:cs="Arial" w:eastAsia="Arial" w:hAnsi="Arial"/>
          <w:sz w:val="17"/>
          <w:szCs w:val="17"/>
          <w:color w:val="auto"/>
        </w:rPr>
        <w:t>are not directors or our corporate secretary.</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firstLine="4"/>
        <w:spacing w:after="0" w:line="246" w:lineRule="auto"/>
        <w:tabs>
          <w:tab w:leader="none" w:pos="23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stockholder inspection of such books and records of the subsidiary would not constitute a breach of an agreement between the corporation or the subsidiary and a person or persons not affiliated with the corporation; and</w:t>
      </w:r>
    </w:p>
    <w:p>
      <w:pPr>
        <w:spacing w:after="0" w:line="157" w:lineRule="exact"/>
        <w:rPr>
          <w:rFonts w:ascii="Arial" w:cs="Arial" w:eastAsia="Arial" w:hAnsi="Arial"/>
          <w:sz w:val="17"/>
          <w:szCs w:val="17"/>
          <w:color w:val="auto"/>
        </w:rPr>
      </w:pPr>
    </w:p>
    <w:p>
      <w:pPr>
        <w:jc w:val="both"/>
        <w:ind w:firstLine="4"/>
        <w:spacing w:after="0" w:line="249" w:lineRule="auto"/>
        <w:tabs>
          <w:tab w:leader="none" w:pos="2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subsidiary would not have the right under the law applicable to it to deny the corporation access to such books and records upon demand by the corporation.</w:t>
      </w:r>
    </w:p>
    <w:p>
      <w:pPr>
        <w:spacing w:after="0" w:line="25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Delaware law permits a corporation’s certificate of incorporation to include a provision eliminating or limiting the personal liability of a director or officer (but not other controlling persons) of the corporation for monetary damages for breach of a fiduciary duty as a director or officer. However, no provision can eliminate or limit the liability of:</w:t>
      </w:r>
    </w:p>
    <w:p>
      <w:pPr>
        <w:spacing w:after="0" w:line="160" w:lineRule="exact"/>
        <w:rPr>
          <w:sz w:val="20"/>
          <w:szCs w:val="20"/>
          <w:color w:val="auto"/>
        </w:rPr>
      </w:pPr>
    </w:p>
    <w:p>
      <w:pPr>
        <w:jc w:val="both"/>
        <w:ind w:firstLine="4"/>
        <w:spacing w:after="0" w:line="255" w:lineRule="auto"/>
        <w:tabs>
          <w:tab w:leader="none" w:pos="261"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director or officer for any breach of his or her duty of loyalty to the corporation or its stockholders;</w:t>
      </w:r>
    </w:p>
    <w:p>
      <w:pPr>
        <w:spacing w:after="0" w:line="149" w:lineRule="exact"/>
        <w:rPr>
          <w:rFonts w:ascii="Arial" w:cs="Arial" w:eastAsia="Arial" w:hAnsi="Arial"/>
          <w:sz w:val="17"/>
          <w:szCs w:val="17"/>
          <w:color w:val="auto"/>
        </w:rPr>
      </w:pPr>
    </w:p>
    <w:p>
      <w:pPr>
        <w:jc w:val="both"/>
        <w:ind w:firstLine="4"/>
        <w:spacing w:after="0" w:line="255" w:lineRule="auto"/>
        <w:tabs>
          <w:tab w:leader="none" w:pos="2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director or officer for acts or omissions not in good faith or which involve intentional misconduct or a knowing violation of law;</w:t>
      </w:r>
    </w:p>
    <w:p>
      <w:pPr>
        <w:spacing w:after="0" w:line="149" w:lineRule="exact"/>
        <w:rPr>
          <w:rFonts w:ascii="Arial" w:cs="Arial" w:eastAsia="Arial" w:hAnsi="Arial"/>
          <w:sz w:val="17"/>
          <w:szCs w:val="17"/>
          <w:color w:val="auto"/>
        </w:rPr>
      </w:pPr>
    </w:p>
    <w:p>
      <w:pPr>
        <w:jc w:val="both"/>
        <w:ind w:firstLine="4"/>
        <w:spacing w:after="0" w:line="255" w:lineRule="auto"/>
        <w:tabs>
          <w:tab w:leader="none" w:pos="2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director for intentional or negligent payment of unlawful dividends or stock purchases or redemptions;</w:t>
      </w:r>
    </w:p>
    <w:p>
      <w:pPr>
        <w:spacing w:after="0" w:line="149" w:lineRule="exact"/>
        <w:rPr>
          <w:rFonts w:ascii="Arial" w:cs="Arial" w:eastAsia="Arial" w:hAnsi="Arial"/>
          <w:sz w:val="17"/>
          <w:szCs w:val="17"/>
          <w:color w:val="auto"/>
        </w:rPr>
      </w:pPr>
    </w:p>
    <w:p>
      <w:pPr>
        <w:jc w:val="both"/>
        <w:ind w:firstLine="4"/>
        <w:spacing w:after="0" w:line="255" w:lineRule="auto"/>
        <w:tabs>
          <w:tab w:leader="none" w:pos="2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director or officer for any transaction from which he or she derives an improper personal benefit; or</w:t>
      </w:r>
    </w:p>
    <w:p>
      <w:pPr>
        <w:spacing w:after="0" w:line="149" w:lineRule="exact"/>
        <w:rPr>
          <w:rFonts w:ascii="Arial" w:cs="Arial" w:eastAsia="Arial" w:hAnsi="Arial"/>
          <w:sz w:val="17"/>
          <w:szCs w:val="17"/>
          <w:color w:val="auto"/>
        </w:rPr>
      </w:pPr>
    </w:p>
    <w:p>
      <w:pPr>
        <w:ind w:firstLine="4"/>
        <w:spacing w:after="0" w:line="273" w:lineRule="auto"/>
        <w:tabs>
          <w:tab w:leader="none" w:pos="293"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officer in any action by or in right of the corporation.</w:t>
      </w:r>
    </w:p>
    <w:p>
      <w:pPr>
        <w:sectPr>
          <w:pgSz w:w="11900" w:h="16838" w:orient="portrait"/>
          <w:cols w:equalWidth="0" w:num="2">
            <w:col w:w="7100" w:space="200"/>
            <w:col w:w="3840"/>
          </w:cols>
          <w:pgMar w:left="320" w:top="233" w:right="4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We are permitted under the Constitution and the</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Irish  Companies  Act  to  take  out  directors’  and</w:t>
      </w:r>
    </w:p>
    <w:p>
      <w:pPr>
        <w:ind w:left="3140"/>
        <w:spacing w:after="0" w:line="237" w:lineRule="auto"/>
        <w:rPr>
          <w:sz w:val="20"/>
          <w:szCs w:val="20"/>
          <w:color w:val="auto"/>
        </w:rPr>
      </w:pPr>
      <w:r>
        <w:rPr>
          <w:rFonts w:ascii="Arial" w:cs="Arial" w:eastAsia="Arial" w:hAnsi="Arial"/>
          <w:sz w:val="17"/>
          <w:szCs w:val="17"/>
          <w:color w:val="auto"/>
        </w:rPr>
        <w:t>officers’ liability insurance, as well as other types of</w:t>
      </w:r>
    </w:p>
    <w:p>
      <w:pPr>
        <w:ind w:left="3140"/>
        <w:spacing w:after="0" w:line="237" w:lineRule="auto"/>
        <w:rPr>
          <w:sz w:val="20"/>
          <w:szCs w:val="20"/>
          <w:color w:val="auto"/>
        </w:rPr>
      </w:pPr>
      <w:r>
        <w:rPr>
          <w:rFonts w:ascii="Arial" w:cs="Arial" w:eastAsia="Arial" w:hAnsi="Arial"/>
          <w:sz w:val="17"/>
          <w:szCs w:val="17"/>
          <w:color w:val="auto"/>
        </w:rPr>
        <w:t>insurance, for our directors, officers, employees and</w:t>
      </w:r>
    </w:p>
    <w:p>
      <w:pPr>
        <w:ind w:left="3140"/>
        <w:spacing w:after="0" w:line="237" w:lineRule="auto"/>
        <w:rPr>
          <w:sz w:val="20"/>
          <w:szCs w:val="20"/>
          <w:color w:val="auto"/>
        </w:rPr>
      </w:pPr>
      <w:r>
        <w:rPr>
          <w:rFonts w:ascii="Arial" w:cs="Arial" w:eastAsia="Arial" w:hAnsi="Arial"/>
          <w:sz w:val="17"/>
          <w:szCs w:val="17"/>
          <w:color w:val="auto"/>
        </w:rPr>
        <w:t>agents.  In  order  to  attract  and  retain  qualified</w:t>
      </w:r>
    </w:p>
    <w:p>
      <w:pPr>
        <w:ind w:left="3140"/>
        <w:spacing w:after="0"/>
        <w:tabs>
          <w:tab w:leader="none" w:pos="3940" w:val="left"/>
          <w:tab w:leader="none" w:pos="4360" w:val="left"/>
          <w:tab w:leader="none" w:pos="5120" w:val="left"/>
          <w:tab w:leader="none" w:pos="5480" w:val="left"/>
          <w:tab w:leader="none" w:pos="6280" w:val="left"/>
        </w:tabs>
        <w:rPr>
          <w:sz w:val="20"/>
          <w:szCs w:val="20"/>
          <w:color w:val="auto"/>
        </w:rPr>
      </w:pPr>
      <w:r>
        <w:rPr>
          <w:rFonts w:ascii="Arial" w:cs="Arial" w:eastAsia="Arial" w:hAnsi="Arial"/>
          <w:sz w:val="17"/>
          <w:szCs w:val="17"/>
          <w:color w:val="auto"/>
        </w:rPr>
        <w:t>directors</w:t>
        <w:tab/>
        <w:t>and</w:t>
        <w:tab/>
        <w:t>officers,</w:t>
        <w:tab/>
        <w:t>we</w:t>
        <w:tab/>
        <w:t>maintain</w:t>
      </w:r>
      <w:r>
        <w:rPr>
          <w:sz w:val="20"/>
          <w:szCs w:val="20"/>
          <w:color w:val="auto"/>
        </w:rPr>
        <w:tab/>
      </w:r>
      <w:r>
        <w:rPr>
          <w:rFonts w:ascii="Arial" w:cs="Arial" w:eastAsia="Arial" w:hAnsi="Arial"/>
          <w:sz w:val="16"/>
          <w:szCs w:val="16"/>
          <w:color w:val="auto"/>
        </w:rPr>
        <w:t>customary</w:t>
      </w:r>
    </w:p>
    <w:p>
      <w:pPr>
        <w:ind w:left="3140"/>
        <w:spacing w:after="0" w:line="237" w:lineRule="auto"/>
        <w:rPr>
          <w:sz w:val="20"/>
          <w:szCs w:val="20"/>
          <w:color w:val="auto"/>
        </w:rPr>
      </w:pPr>
      <w:r>
        <w:rPr>
          <w:rFonts w:ascii="Arial" w:cs="Arial" w:eastAsia="Arial" w:hAnsi="Arial"/>
          <w:sz w:val="17"/>
          <w:szCs w:val="17"/>
          <w:color w:val="auto"/>
        </w:rPr>
        <w:t>directors’ and officers’ liability insurance and other</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types of comparable insurance.</w:t>
      </w:r>
    </w:p>
    <w:p>
      <w:pPr>
        <w:spacing w:after="0" w:line="85"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Voting Rights</w:t>
      </w:r>
      <w:r>
        <w:rPr>
          <w:sz w:val="20"/>
          <w:szCs w:val="20"/>
          <w:color w:val="auto"/>
        </w:rPr>
        <w:tab/>
      </w:r>
      <w:r>
        <w:rPr>
          <w:rFonts w:ascii="Arial" w:cs="Arial" w:eastAsia="Arial" w:hAnsi="Arial"/>
          <w:sz w:val="17"/>
          <w:szCs w:val="17"/>
          <w:color w:val="auto"/>
        </w:rPr>
        <w:t>Under the Constitution, each holder of our ordinary</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shares is entitled to one vote for each ordinary</w:t>
      </w:r>
    </w:p>
    <w:p>
      <w:pPr>
        <w:ind w:left="3140"/>
        <w:spacing w:after="0" w:line="237" w:lineRule="auto"/>
        <w:rPr>
          <w:sz w:val="20"/>
          <w:szCs w:val="20"/>
          <w:color w:val="auto"/>
        </w:rPr>
      </w:pPr>
      <w:r>
        <w:rPr>
          <w:rFonts w:ascii="Arial" w:cs="Arial" w:eastAsia="Arial" w:hAnsi="Arial"/>
          <w:sz w:val="17"/>
          <w:szCs w:val="17"/>
          <w:color w:val="auto"/>
        </w:rPr>
        <w:t>share that he or she holds as of the record date for</w:t>
      </w:r>
    </w:p>
    <w:p>
      <w:pPr>
        <w:jc w:val="right"/>
        <w:spacing w:after="0" w:line="237" w:lineRule="auto"/>
        <w:rPr>
          <w:sz w:val="20"/>
          <w:szCs w:val="20"/>
          <w:color w:val="auto"/>
        </w:rPr>
      </w:pPr>
      <w:r>
        <w:rPr>
          <w:rFonts w:ascii="Arial" w:cs="Arial" w:eastAsia="Arial" w:hAnsi="Arial"/>
          <w:sz w:val="17"/>
          <w:szCs w:val="17"/>
          <w:color w:val="auto"/>
        </w:rPr>
        <w:t>the meeting. We may not exercise any voting rights</w:t>
      </w:r>
    </w:p>
    <w:p>
      <w:pPr>
        <w:ind w:left="3140"/>
        <w:spacing w:after="0" w:line="237" w:lineRule="auto"/>
        <w:rPr>
          <w:sz w:val="20"/>
          <w:szCs w:val="20"/>
          <w:color w:val="auto"/>
        </w:rPr>
      </w:pPr>
      <w:r>
        <w:rPr>
          <w:rFonts w:ascii="Arial" w:cs="Arial" w:eastAsia="Arial" w:hAnsi="Arial"/>
          <w:sz w:val="17"/>
          <w:szCs w:val="17"/>
          <w:color w:val="auto"/>
        </w:rPr>
        <w:t>in respect of any shares held as treasury shares.</w:t>
      </w:r>
    </w:p>
    <w:p>
      <w:pPr>
        <w:ind w:left="3140"/>
        <w:spacing w:after="0" w:line="237" w:lineRule="auto"/>
        <w:rPr>
          <w:sz w:val="20"/>
          <w:szCs w:val="20"/>
          <w:color w:val="auto"/>
        </w:rPr>
      </w:pPr>
      <w:r>
        <w:rPr>
          <w:rFonts w:ascii="Arial" w:cs="Arial" w:eastAsia="Arial" w:hAnsi="Arial"/>
          <w:sz w:val="17"/>
          <w:szCs w:val="17"/>
          <w:color w:val="auto"/>
        </w:rPr>
        <w:t>Any shares held by our subsidiaries will count as</w:t>
      </w:r>
    </w:p>
    <w:p>
      <w:pPr>
        <w:ind w:left="3140"/>
        <w:spacing w:after="0" w:line="237" w:lineRule="auto"/>
        <w:tabs>
          <w:tab w:leader="none" w:pos="3920" w:val="left"/>
          <w:tab w:leader="none" w:pos="4600" w:val="left"/>
          <w:tab w:leader="none" w:pos="4980" w:val="left"/>
          <w:tab w:leader="none" w:pos="5420" w:val="left"/>
          <w:tab w:leader="none" w:pos="6260" w:val="left"/>
          <w:tab w:leader="none" w:pos="6720" w:val="left"/>
        </w:tabs>
        <w:rPr>
          <w:sz w:val="20"/>
          <w:szCs w:val="20"/>
          <w:color w:val="auto"/>
        </w:rPr>
      </w:pPr>
      <w:r>
        <w:rPr>
          <w:rFonts w:ascii="Arial" w:cs="Arial" w:eastAsia="Arial" w:hAnsi="Arial"/>
          <w:sz w:val="17"/>
          <w:szCs w:val="17"/>
          <w:color w:val="auto"/>
        </w:rPr>
        <w:t>treasury</w:t>
        <w:tab/>
        <w:t>shares</w:t>
        <w:tab/>
        <w:t>for</w:t>
        <w:tab/>
        <w:t>this</w:t>
        <w:tab/>
        <w:t>purpose,</w:t>
        <w:tab/>
        <w:t>and</w:t>
        <w:tab/>
        <w:t>such</w:t>
      </w:r>
    </w:p>
    <w:p>
      <w:pPr>
        <w:ind w:left="3140"/>
        <w:spacing w:after="0" w:line="237" w:lineRule="auto"/>
        <w:rPr>
          <w:sz w:val="20"/>
          <w:szCs w:val="20"/>
          <w:color w:val="auto"/>
        </w:rPr>
      </w:pPr>
      <w:r>
        <w:rPr>
          <w:rFonts w:ascii="Arial" w:cs="Arial" w:eastAsia="Arial" w:hAnsi="Arial"/>
          <w:sz w:val="17"/>
          <w:szCs w:val="17"/>
          <w:color w:val="auto"/>
        </w:rPr>
        <w:t>subsidiaries cannot therefore exercise any voting</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rights in respect of those shares.</w:t>
      </w:r>
    </w:p>
    <w:p>
      <w:pPr>
        <w:spacing w:after="0" w:line="85" w:lineRule="exact"/>
        <w:rPr>
          <w:sz w:val="20"/>
          <w:szCs w:val="20"/>
          <w:color w:val="auto"/>
        </w:rPr>
      </w:pPr>
    </w:p>
    <w:p>
      <w:pPr>
        <w:spacing w:after="0"/>
        <w:tabs>
          <w:tab w:leader="none" w:pos="1260" w:val="left"/>
          <w:tab w:leader="none" w:pos="1940" w:val="left"/>
          <w:tab w:leader="none" w:pos="2460" w:val="left"/>
        </w:tabs>
        <w:rPr>
          <w:sz w:val="20"/>
          <w:szCs w:val="20"/>
          <w:color w:val="auto"/>
        </w:rPr>
      </w:pPr>
      <w:r>
        <w:rPr>
          <w:rFonts w:ascii="Arial" w:cs="Arial" w:eastAsia="Arial" w:hAnsi="Arial"/>
          <w:sz w:val="17"/>
          <w:szCs w:val="17"/>
          <w:color w:val="auto"/>
        </w:rPr>
        <w:t>Shareholder</w:t>
      </w:r>
      <w:r>
        <w:rPr>
          <w:sz w:val="20"/>
          <w:szCs w:val="20"/>
          <w:color w:val="auto"/>
        </w:rPr>
        <w:tab/>
      </w:r>
      <w:r>
        <w:rPr>
          <w:rFonts w:ascii="Arial" w:cs="Arial" w:eastAsia="Arial" w:hAnsi="Arial"/>
          <w:sz w:val="17"/>
          <w:szCs w:val="17"/>
          <w:color w:val="auto"/>
        </w:rPr>
        <w:t>Vote</w:t>
      </w:r>
      <w:r>
        <w:rPr>
          <w:sz w:val="20"/>
          <w:szCs w:val="20"/>
          <w:color w:val="auto"/>
        </w:rPr>
        <w:tab/>
      </w: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Certain Pursuant  to  Irish  law,  shareholder  approval  in</w:t>
      </w:r>
    </w:p>
    <w:p>
      <w:pPr>
        <w:spacing w:after="0" w:line="11" w:lineRule="exact"/>
        <w:rPr>
          <w:sz w:val="20"/>
          <w:szCs w:val="20"/>
          <w:color w:val="auto"/>
        </w:rPr>
      </w:pPr>
    </w:p>
    <w:p>
      <w:pPr>
        <w:spacing w:after="0"/>
        <w:tabs>
          <w:tab w:leader="none" w:pos="3120" w:val="left"/>
          <w:tab w:leader="none" w:pos="4140" w:val="left"/>
          <w:tab w:leader="none" w:pos="4640" w:val="left"/>
          <w:tab w:leader="none" w:pos="4940" w:val="left"/>
          <w:tab w:leader="none" w:pos="5980" w:val="left"/>
          <w:tab w:leader="none" w:pos="6840" w:val="left"/>
        </w:tabs>
        <w:rPr>
          <w:sz w:val="20"/>
          <w:szCs w:val="20"/>
          <w:color w:val="auto"/>
        </w:rPr>
      </w:pPr>
      <w:r>
        <w:rPr>
          <w:rFonts w:ascii="Arial" w:cs="Arial" w:eastAsia="Arial" w:hAnsi="Arial"/>
          <w:sz w:val="17"/>
          <w:szCs w:val="17"/>
          <w:color w:val="auto"/>
        </w:rPr>
        <w:t>Transactions</w:t>
      </w:r>
      <w:r>
        <w:rPr>
          <w:sz w:val="20"/>
          <w:szCs w:val="20"/>
          <w:color w:val="auto"/>
        </w:rPr>
        <w:tab/>
      </w:r>
      <w:r>
        <w:rPr>
          <w:rFonts w:ascii="Arial" w:cs="Arial" w:eastAsia="Arial" w:hAnsi="Arial"/>
          <w:sz w:val="17"/>
          <w:szCs w:val="17"/>
          <w:color w:val="auto"/>
        </w:rPr>
        <w:t>connection</w:t>
        <w:tab/>
        <w:t>with</w:t>
        <w:tab/>
        <w:t>a</w:t>
        <w:tab/>
        <w:t>transaction</w:t>
        <w:tab/>
        <w:t>involving</w:t>
        <w:tab/>
        <w:t>the</w:t>
      </w:r>
    </w:p>
    <w:p>
      <w:pPr>
        <w:ind w:left="3140" w:right="20"/>
        <w:spacing w:after="0" w:line="254" w:lineRule="auto"/>
        <w:rPr>
          <w:sz w:val="20"/>
          <w:szCs w:val="20"/>
          <w:color w:val="auto"/>
        </w:rPr>
      </w:pPr>
      <w:r>
        <w:rPr>
          <w:rFonts w:ascii="Arial" w:cs="Arial" w:eastAsia="Arial" w:hAnsi="Arial"/>
          <w:sz w:val="17"/>
          <w:szCs w:val="17"/>
          <w:color w:val="auto"/>
        </w:rPr>
        <w:t>Company would be required under the following circumstances:</w:t>
      </w:r>
    </w:p>
    <w:p>
      <w:pPr>
        <w:spacing w:after="0" w:line="15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 connection with a scheme of arrangement,</w:t>
      </w:r>
    </w:p>
    <w:p>
      <w:pPr>
        <w:spacing w:after="0" w:line="24"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both a court order from the Irish High Court</w:t>
      </w:r>
    </w:p>
    <w:p>
      <w:pPr>
        <w:ind w:left="3600"/>
        <w:spacing w:after="0" w:line="237" w:lineRule="auto"/>
        <w:rPr>
          <w:sz w:val="20"/>
          <w:szCs w:val="20"/>
          <w:color w:val="auto"/>
        </w:rPr>
      </w:pPr>
      <w:r>
        <w:rPr>
          <w:rFonts w:ascii="Arial" w:cs="Arial" w:eastAsia="Arial" w:hAnsi="Arial"/>
          <w:sz w:val="17"/>
          <w:szCs w:val="17"/>
          <w:color w:val="auto"/>
        </w:rPr>
        <w:t>and the approval of a majority in number</w:t>
      </w:r>
    </w:p>
    <w:p>
      <w:pPr>
        <w:ind w:left="3600"/>
        <w:spacing w:after="0" w:line="237" w:lineRule="auto"/>
        <w:rPr>
          <w:sz w:val="20"/>
          <w:szCs w:val="20"/>
          <w:color w:val="auto"/>
        </w:rPr>
      </w:pPr>
      <w:r>
        <w:rPr>
          <w:rFonts w:ascii="Arial" w:cs="Arial" w:eastAsia="Arial" w:hAnsi="Arial"/>
          <w:sz w:val="17"/>
          <w:szCs w:val="17"/>
          <w:color w:val="auto"/>
        </w:rPr>
        <w:t>representing 75% in value of the</w:t>
      </w:r>
    </w:p>
    <w:p>
      <w:pPr>
        <w:ind w:left="3600"/>
        <w:spacing w:after="0" w:line="237" w:lineRule="auto"/>
        <w:rPr>
          <w:sz w:val="20"/>
          <w:szCs w:val="20"/>
          <w:color w:val="auto"/>
        </w:rPr>
      </w:pPr>
      <w:r>
        <w:rPr>
          <w:rFonts w:ascii="Arial" w:cs="Arial" w:eastAsia="Arial" w:hAnsi="Arial"/>
          <w:sz w:val="17"/>
          <w:szCs w:val="17"/>
          <w:color w:val="auto"/>
        </w:rPr>
        <w:t>shareholders present and voting in person or</w:t>
      </w:r>
    </w:p>
    <w:p>
      <w:pPr>
        <w:ind w:left="3600"/>
        <w:spacing w:after="0" w:line="237" w:lineRule="auto"/>
        <w:rPr>
          <w:sz w:val="20"/>
          <w:szCs w:val="20"/>
          <w:color w:val="auto"/>
        </w:rPr>
      </w:pPr>
      <w:r>
        <w:rPr>
          <w:rFonts w:ascii="Arial" w:cs="Arial" w:eastAsia="Arial" w:hAnsi="Arial"/>
          <w:sz w:val="17"/>
          <w:szCs w:val="17"/>
          <w:color w:val="auto"/>
        </w:rPr>
        <w:t>by proxy at a meeting called to approve such</w:t>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a scheme would be required;</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 connection with an acquisition of the</w:t>
      </w:r>
    </w:p>
    <w:p>
      <w:pPr>
        <w:spacing w:after="0" w:line="24"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Company by way of a merger with an EU</w:t>
      </w:r>
    </w:p>
    <w:p>
      <w:pPr>
        <w:ind w:left="3600"/>
        <w:spacing w:after="0" w:line="237" w:lineRule="auto"/>
        <w:rPr>
          <w:sz w:val="20"/>
          <w:szCs w:val="20"/>
          <w:color w:val="auto"/>
        </w:rPr>
      </w:pPr>
      <w:r>
        <w:rPr>
          <w:rFonts w:ascii="Arial" w:cs="Arial" w:eastAsia="Arial" w:hAnsi="Arial"/>
          <w:sz w:val="17"/>
          <w:szCs w:val="17"/>
          <w:color w:val="auto"/>
        </w:rPr>
        <w:t>company under the EU Cross-Border Mergers</w:t>
      </w:r>
    </w:p>
    <w:p>
      <w:pPr>
        <w:ind w:left="3600"/>
        <w:spacing w:after="0" w:line="237" w:lineRule="auto"/>
        <w:rPr>
          <w:sz w:val="20"/>
          <w:szCs w:val="20"/>
          <w:color w:val="auto"/>
        </w:rPr>
      </w:pPr>
      <w:r>
        <w:rPr>
          <w:rFonts w:ascii="Arial" w:cs="Arial" w:eastAsia="Arial" w:hAnsi="Arial"/>
          <w:sz w:val="17"/>
          <w:szCs w:val="17"/>
          <w:color w:val="auto"/>
        </w:rPr>
        <w:t>Directive (Directive (EU) 2017/1132 of June</w:t>
      </w:r>
    </w:p>
    <w:p>
      <w:pPr>
        <w:ind w:left="3600"/>
        <w:spacing w:after="0" w:line="237" w:lineRule="auto"/>
        <w:rPr>
          <w:sz w:val="20"/>
          <w:szCs w:val="20"/>
          <w:color w:val="auto"/>
        </w:rPr>
      </w:pPr>
      <w:r>
        <w:rPr>
          <w:rFonts w:ascii="Arial" w:cs="Arial" w:eastAsia="Arial" w:hAnsi="Arial"/>
          <w:sz w:val="17"/>
          <w:szCs w:val="17"/>
          <w:color w:val="auto"/>
        </w:rPr>
        <w:t>14, 2017, as amended by Directive (EU)</w:t>
      </w:r>
    </w:p>
    <w:p>
      <w:pPr>
        <w:ind w:left="3600"/>
        <w:spacing w:after="0" w:line="237" w:lineRule="auto"/>
        <w:rPr>
          <w:sz w:val="20"/>
          <w:szCs w:val="20"/>
          <w:color w:val="auto"/>
        </w:rPr>
      </w:pPr>
      <w:r>
        <w:rPr>
          <w:rFonts w:ascii="Arial" w:cs="Arial" w:eastAsia="Arial" w:hAnsi="Arial"/>
          <w:sz w:val="17"/>
          <w:szCs w:val="17"/>
          <w:color w:val="auto"/>
        </w:rPr>
        <w:t>2019/2121 of November 27, 2019), approval</w:t>
      </w:r>
    </w:p>
    <w:p>
      <w:pPr>
        <w:ind w:left="3600"/>
        <w:spacing w:after="0" w:line="237" w:lineRule="auto"/>
        <w:rPr>
          <w:sz w:val="20"/>
          <w:szCs w:val="20"/>
          <w:color w:val="auto"/>
        </w:rPr>
      </w:pPr>
      <w:r>
        <w:rPr>
          <w:rFonts w:ascii="Arial" w:cs="Arial" w:eastAsia="Arial" w:hAnsi="Arial"/>
          <w:sz w:val="17"/>
          <w:szCs w:val="17"/>
          <w:color w:val="auto"/>
        </w:rPr>
        <w:t>by a special resolution of the shareholders</w:t>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would be required; and</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 connection with a merger with an Irish</w:t>
      </w:r>
    </w:p>
    <w:p>
      <w:pPr>
        <w:spacing w:after="0" w:line="24"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company under the Irish Companies Act,</w:t>
      </w:r>
    </w:p>
    <w:p>
      <w:pPr>
        <w:ind w:left="3600"/>
        <w:spacing w:after="0" w:line="237" w:lineRule="auto"/>
        <w:rPr>
          <w:sz w:val="20"/>
          <w:szCs w:val="20"/>
          <w:color w:val="auto"/>
        </w:rPr>
      </w:pPr>
      <w:r>
        <w:rPr>
          <w:rFonts w:ascii="Arial" w:cs="Arial" w:eastAsia="Arial" w:hAnsi="Arial"/>
          <w:sz w:val="17"/>
          <w:szCs w:val="17"/>
          <w:color w:val="auto"/>
        </w:rPr>
        <w:t>approval by a special resolution of</w:t>
      </w:r>
    </w:p>
    <w:p>
      <w:pPr>
        <w:ind w:left="3600"/>
        <w:spacing w:after="0"/>
        <w:rPr>
          <w:sz w:val="20"/>
          <w:szCs w:val="20"/>
          <w:color w:val="auto"/>
        </w:rPr>
      </w:pPr>
      <w:r>
        <w:rPr>
          <w:rFonts w:ascii="Arial" w:cs="Arial" w:eastAsia="Arial" w:hAnsi="Arial"/>
          <w:sz w:val="17"/>
          <w:szCs w:val="17"/>
          <w:color w:val="auto"/>
        </w:rPr>
        <w:t>shareholders would be required.</w:t>
      </w:r>
    </w:p>
    <w:p>
      <w:pPr>
        <w:spacing w:after="0" w:line="32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Each stockholder is entitled to one vote for each share of capital stock held by the stockholder, unless the certificate of incorporation provides otherwise. If issued, the voting rights of holders of preferred stock will be determined by the certificate of incorporation or the certificate of designation with respect to such preferred stock.</w:t>
      </w:r>
    </w:p>
    <w:p>
      <w:pPr>
        <w:spacing w:after="0" w:line="200" w:lineRule="exact"/>
        <w:rPr>
          <w:sz w:val="20"/>
          <w:szCs w:val="20"/>
          <w:color w:val="auto"/>
        </w:rPr>
      </w:pPr>
    </w:p>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approval of the board of directors; and</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ectPr>
          <w:pgSz w:w="11900" w:h="16838" w:orient="portrait"/>
          <w:cols w:equalWidth="0" w:num="2">
            <w:col w:w="7100" w:space="200"/>
            <w:col w:w="3840"/>
          </w:cols>
          <w:pgMar w:left="320" w:top="233"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t>Table of Contents</w:t>
      </w:r>
    </w:p>
    <w:p>
      <w:pPr>
        <w:sectPr>
          <w:pgSz w:w="11900" w:h="16838" w:orient="portrait"/>
          <w:cols w:equalWidth="0" w:num="1">
            <w:col w:w="11140"/>
          </w:cols>
          <w:pgMar w:left="320" w:top="233" w:right="439" w:bottom="1440" w:gutter="0" w:footer="0" w:header="0"/>
        </w:sect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0" w:type="dxa"/>
            <w:vAlign w:val="bottom"/>
          </w:tcPr>
          <w:p>
            <w:pPr>
              <w:spacing w:after="0"/>
              <w:rPr>
                <w:sz w:val="18"/>
                <w:szCs w:val="18"/>
                <w:color w:val="auto"/>
              </w:rPr>
            </w:pPr>
          </w:p>
        </w:tc>
        <w:tc>
          <w:tcPr>
            <w:tcW w:w="4400" w:type="dxa"/>
            <w:vAlign w:val="bottom"/>
            <w:gridSpan w:val="2"/>
          </w:tcPr>
          <w:p>
            <w:pPr>
              <w:ind w:left="240"/>
              <w:spacing w:after="0"/>
              <w:rPr>
                <w:sz w:val="20"/>
                <w:szCs w:val="20"/>
                <w:color w:val="auto"/>
              </w:rPr>
            </w:pPr>
            <w:r>
              <w:rPr>
                <w:rFonts w:ascii="Arial" w:cs="Arial" w:eastAsia="Arial" w:hAnsi="Arial"/>
                <w:sz w:val="17"/>
                <w:szCs w:val="17"/>
                <w:b w:val="1"/>
                <w:bCs w:val="1"/>
                <w:color w:val="auto"/>
              </w:rPr>
              <w:t>IRELAND</w:t>
            </w:r>
          </w:p>
        </w:tc>
      </w:tr>
      <w:tr>
        <w:trPr>
          <w:trHeight w:val="272"/>
        </w:trPr>
        <w:tc>
          <w:tcPr>
            <w:tcW w:w="2800" w:type="dxa"/>
            <w:vAlign w:val="bottom"/>
          </w:tcPr>
          <w:p>
            <w:pPr>
              <w:spacing w:after="0"/>
              <w:rPr>
                <w:sz w:val="20"/>
                <w:szCs w:val="20"/>
                <w:color w:val="auto"/>
              </w:rPr>
            </w:pPr>
            <w:r>
              <w:rPr>
                <w:rFonts w:ascii="Arial" w:cs="Arial" w:eastAsia="Arial" w:hAnsi="Arial"/>
                <w:sz w:val="17"/>
                <w:szCs w:val="17"/>
                <w:color w:val="auto"/>
              </w:rPr>
              <w:t>Standard of Conduct for Directors</w:t>
            </w:r>
          </w:p>
        </w:tc>
        <w:tc>
          <w:tcPr>
            <w:tcW w:w="240" w:type="dxa"/>
            <w:vAlign w:val="bottom"/>
          </w:tcPr>
          <w:p>
            <w:pPr>
              <w:spacing w:after="0"/>
              <w:rPr>
                <w:sz w:val="23"/>
                <w:szCs w:val="23"/>
                <w:color w:val="auto"/>
              </w:rPr>
            </w:pPr>
          </w:p>
        </w:tc>
        <w:tc>
          <w:tcPr>
            <w:tcW w:w="41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The directors of the Company have certain statutory</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and fiduciary duties as a matter of Irish law. All of</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the directors have equal and overall responsibility</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for the management of the Company (although</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directors who also serve as employees may have</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additional responsibilities and duties arising under</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their employment agreements (if applicable), and it</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is likely that more will be expected of them in</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compliance with their duties than non-executive</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directors).  The  Irish  Companies  Act  provides</w:t>
            </w:r>
          </w:p>
        </w:tc>
      </w:tr>
      <w:tr>
        <w:trPr>
          <w:trHeight w:val="193"/>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Pr>
          <w:p>
            <w:pPr>
              <w:ind w:left="100"/>
              <w:spacing w:after="0" w:line="194" w:lineRule="exact"/>
              <w:rPr>
                <w:sz w:val="20"/>
                <w:szCs w:val="20"/>
                <w:color w:val="auto"/>
              </w:rPr>
            </w:pPr>
            <w:r>
              <w:rPr>
                <w:rFonts w:ascii="Arial" w:cs="Arial" w:eastAsia="Arial" w:hAnsi="Arial"/>
                <w:sz w:val="17"/>
                <w:szCs w:val="17"/>
                <w:color w:val="auto"/>
              </w:rPr>
              <w:t>specifically  for  certain  fiduciary  duties  of  the</w:t>
            </w:r>
          </w:p>
        </w:tc>
      </w:tr>
      <w:tr>
        <w:trPr>
          <w:trHeight w:val="225"/>
        </w:trPr>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7"/>
                <w:szCs w:val="17"/>
                <w:color w:val="auto"/>
              </w:rPr>
              <w:t>directors of Irish companies, including duties:</w:t>
            </w:r>
          </w:p>
        </w:tc>
      </w:tr>
    </w:tbl>
    <w:p>
      <w:pPr>
        <w:spacing w:after="0" w:line="16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to act in good faith and in the best interests of</w:t>
      </w:r>
    </w:p>
    <w:p>
      <w:pPr>
        <w:spacing w:after="0" w:line="26"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the company;</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to act honestly and responsibly in relation to</w:t>
      </w:r>
    </w:p>
    <w:p>
      <w:pPr>
        <w:spacing w:after="0" w:line="26"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the company’s affairs;</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to act in accordance with the company’s</w:t>
      </w:r>
    </w:p>
    <w:p>
      <w:pPr>
        <w:spacing w:after="0" w:line="24"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constitution and to exercise powers only for</w:t>
      </w:r>
    </w:p>
    <w:p>
      <w:pPr>
        <w:ind w:left="3600"/>
        <w:spacing w:after="0"/>
        <w:rPr>
          <w:sz w:val="20"/>
          <w:szCs w:val="20"/>
          <w:color w:val="auto"/>
        </w:rPr>
      </w:pPr>
      <w:r>
        <w:rPr>
          <w:rFonts w:ascii="Arial" w:cs="Arial" w:eastAsia="Arial" w:hAnsi="Arial"/>
          <w:sz w:val="17"/>
          <w:szCs w:val="17"/>
          <w:color w:val="auto"/>
        </w:rPr>
        <w:t>lawful purposes;</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not to misuse the company’s property,</w:t>
      </w:r>
    </w:p>
    <w:p>
      <w:pPr>
        <w:spacing w:after="0" w:line="26"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information and/or opportunity;</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not to fetter their independent judgment;</w:t>
      </w:r>
    </w:p>
    <w:p>
      <w:pPr>
        <w:spacing w:after="0" w:line="20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to avoid conflicts of interest;</w:t>
      </w:r>
    </w:p>
    <w:p>
      <w:pPr>
        <w:spacing w:after="0" w:line="20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to exercise care, skill and diligence; and</w:t>
      </w:r>
    </w:p>
    <w:p>
      <w:pPr>
        <w:spacing w:after="0" w:line="20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to have regard for the interests of the</w:t>
      </w:r>
    </w:p>
    <w:p>
      <w:pPr>
        <w:spacing w:after="0" w:line="26"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company’s shareholders.</w:t>
      </w:r>
    </w:p>
    <w:p>
      <w:pPr>
        <w:spacing w:after="0" w:line="175" w:lineRule="exact"/>
        <w:rPr>
          <w:sz w:val="20"/>
          <w:szCs w:val="20"/>
          <w:color w:val="auto"/>
        </w:rPr>
      </w:pPr>
    </w:p>
    <w:p>
      <w:pPr>
        <w:jc w:val="both"/>
        <w:ind w:left="3140" w:right="100"/>
        <w:spacing w:after="0" w:line="241" w:lineRule="auto"/>
        <w:rPr>
          <w:sz w:val="20"/>
          <w:szCs w:val="20"/>
          <w:color w:val="auto"/>
        </w:rPr>
      </w:pPr>
      <w:r>
        <w:rPr>
          <w:rFonts w:ascii="Arial" w:cs="Arial" w:eastAsia="Arial" w:hAnsi="Arial"/>
          <w:sz w:val="17"/>
          <w:szCs w:val="17"/>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the Company will have a specific duty to ensure that the company secretary is a person with the requisite knowledge and experience to discharge the role.</w:t>
      </w:r>
    </w:p>
    <w:p>
      <w:pPr>
        <w:spacing w:after="0" w:line="200" w:lineRule="exact"/>
        <w:rPr>
          <w:sz w:val="20"/>
          <w:szCs w:val="20"/>
          <w:color w:val="auto"/>
        </w:rPr>
      </w:pP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4364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spacing w:after="0" w:line="9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interests of the stockholders.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ectPr>
          <w:pgSz w:w="11900" w:h="16838" w:orient="portrait"/>
          <w:cols w:equalWidth="0" w:num="2">
            <w:col w:w="7200" w:space="100"/>
            <w:col w:w="3840"/>
          </w:cols>
          <w:pgMar w:left="320" w:top="233" w:right="4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p>
      <w:pPr>
        <w:spacing w:after="0" w:line="116" w:lineRule="exact"/>
        <w:rPr>
          <w:sz w:val="20"/>
          <w:szCs w:val="20"/>
          <w:color w:val="auto"/>
        </w:rPr>
      </w:pPr>
    </w:p>
    <w:p>
      <w:pPr>
        <w:jc w:val="both"/>
        <w:ind w:left="3140"/>
        <w:spacing w:after="0"/>
        <w:rPr>
          <w:sz w:val="20"/>
          <w:szCs w:val="20"/>
          <w:color w:val="auto"/>
        </w:rPr>
      </w:pPr>
      <w:r>
        <w:rPr>
          <w:rFonts w:ascii="Arial" w:cs="Arial" w:eastAsia="Arial" w:hAnsi="Arial"/>
          <w:sz w:val="17"/>
          <w:szCs w:val="17"/>
          <w:color w:val="auto"/>
        </w:rPr>
        <w:t>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 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believed to merit confidence.</w:t>
      </w:r>
    </w:p>
    <w:p>
      <w:pPr>
        <w:spacing w:after="0" w:line="266"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Shareholder Suits</w:t>
      </w:r>
      <w:r>
        <w:rPr>
          <w:sz w:val="20"/>
          <w:szCs w:val="20"/>
          <w:color w:val="auto"/>
        </w:rPr>
        <w:tab/>
      </w:r>
      <w:r>
        <w:rPr>
          <w:rFonts w:ascii="Arial" w:cs="Arial" w:eastAsia="Arial" w:hAnsi="Arial"/>
          <w:sz w:val="17"/>
          <w:szCs w:val="17"/>
          <w:color w:val="auto"/>
        </w:rPr>
        <w:t>In Ireland, the decision to institute proceedings is</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generally taken by a company’s board of directors,</w:t>
      </w:r>
    </w:p>
    <w:p>
      <w:pPr>
        <w:ind w:left="3140"/>
        <w:spacing w:after="0" w:line="237" w:lineRule="auto"/>
        <w:rPr>
          <w:sz w:val="20"/>
          <w:szCs w:val="20"/>
          <w:color w:val="auto"/>
        </w:rPr>
      </w:pPr>
      <w:r>
        <w:rPr>
          <w:rFonts w:ascii="Arial" w:cs="Arial" w:eastAsia="Arial" w:hAnsi="Arial"/>
          <w:sz w:val="17"/>
          <w:szCs w:val="17"/>
          <w:color w:val="auto"/>
        </w:rPr>
        <w:t>who will usually be empowered to manage the</w:t>
      </w:r>
    </w:p>
    <w:p>
      <w:pPr>
        <w:jc w:val="both"/>
        <w:ind w:left="3140"/>
        <w:spacing w:after="0" w:line="245" w:lineRule="auto"/>
        <w:rPr>
          <w:sz w:val="20"/>
          <w:szCs w:val="20"/>
          <w:color w:val="auto"/>
        </w:rPr>
      </w:pPr>
      <w:r>
        <w:rPr>
          <w:rFonts w:ascii="Arial" w:cs="Arial" w:eastAsia="Arial" w:hAnsi="Arial"/>
          <w:sz w:val="17"/>
          <w:szCs w:val="17"/>
          <w:color w:val="auto"/>
        </w:rPr>
        <w:t>company’s business. In certain limited circumstances, a shareholder may be entitled to bring a derivative action on behalf of the company.</w:t>
      </w:r>
    </w:p>
    <w:p>
      <w:pPr>
        <w:spacing w:after="0" w:line="158" w:lineRule="exact"/>
        <w:rPr>
          <w:sz w:val="20"/>
          <w:szCs w:val="20"/>
          <w:color w:val="auto"/>
        </w:rPr>
      </w:pPr>
    </w:p>
    <w:p>
      <w:pPr>
        <w:jc w:val="both"/>
        <w:ind w:left="3140"/>
        <w:spacing w:after="0" w:line="246" w:lineRule="auto"/>
        <w:rPr>
          <w:sz w:val="20"/>
          <w:szCs w:val="20"/>
          <w:color w:val="auto"/>
        </w:rPr>
      </w:pPr>
      <w:r>
        <w:rPr>
          <w:rFonts w:ascii="Arial" w:cs="Arial" w:eastAsia="Arial" w:hAnsi="Arial"/>
          <w:sz w:val="17"/>
          <w:szCs w:val="17"/>
          <w:color w:val="auto"/>
        </w:rPr>
        <w:t>The central question at issue in deciding whether a minority shareholder may be permitted to bring a derivative action is whether, unless the action is brought, a wrong committed against the company would otherwise go unredressed.</w:t>
      </w:r>
    </w:p>
    <w:p>
      <w:pPr>
        <w:spacing w:after="0" w:line="157" w:lineRule="exact"/>
        <w:rPr>
          <w:sz w:val="20"/>
          <w:szCs w:val="20"/>
          <w:color w:val="auto"/>
        </w:rPr>
      </w:pPr>
    </w:p>
    <w:p>
      <w:pPr>
        <w:jc w:val="both"/>
        <w:ind w:left="3140"/>
        <w:spacing w:after="0" w:line="244" w:lineRule="auto"/>
        <w:rPr>
          <w:sz w:val="20"/>
          <w:szCs w:val="20"/>
          <w:color w:val="auto"/>
        </w:rPr>
      </w:pPr>
      <w:r>
        <w:rPr>
          <w:rFonts w:ascii="Arial" w:cs="Arial" w:eastAsia="Arial" w:hAnsi="Arial"/>
          <w:sz w:val="17"/>
          <w:szCs w:val="17"/>
          <w:color w:val="auto"/>
        </w:rPr>
        <w:t>The principal case law in Ireland indicates that to bring a derivative action a person must first establish a prima facie case (i) that the company is entitled to the relief claimed and (ii) that the action falls within one of the five exceptions derived from case law, as follows:</w:t>
      </w:r>
    </w:p>
    <w:p>
      <w:pPr>
        <w:spacing w:after="0" w:line="160" w:lineRule="exact"/>
        <w:rPr>
          <w:sz w:val="20"/>
          <w:szCs w:val="20"/>
          <w:color w:val="auto"/>
        </w:rPr>
      </w:pPr>
    </w:p>
    <w:p>
      <w:pPr>
        <w:ind w:left="3400" w:hanging="255"/>
        <w:spacing w:after="0"/>
        <w:tabs>
          <w:tab w:leader="none" w:pos="3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where an ultra vires or illegal act is perpetrated;</w:t>
      </w:r>
    </w:p>
    <w:p>
      <w:pPr>
        <w:spacing w:after="0" w:line="190" w:lineRule="exact"/>
        <w:rPr>
          <w:rFonts w:ascii="Arial" w:cs="Arial" w:eastAsia="Arial" w:hAnsi="Arial"/>
          <w:sz w:val="17"/>
          <w:szCs w:val="17"/>
          <w:color w:val="auto"/>
        </w:rPr>
      </w:pPr>
    </w:p>
    <w:p>
      <w:pPr>
        <w:ind w:left="3140" w:firstLine="5"/>
        <w:spacing w:after="0" w:line="273" w:lineRule="auto"/>
        <w:tabs>
          <w:tab w:leader="none" w:pos="3417"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where more than a bare majority is required to ratify the “wrong” complained of;</w:t>
      </w:r>
    </w:p>
    <w:p>
      <w:pPr>
        <w:spacing w:after="0" w:line="134" w:lineRule="exact"/>
        <w:rPr>
          <w:rFonts w:ascii="Arial" w:cs="Arial" w:eastAsia="Arial" w:hAnsi="Arial"/>
          <w:sz w:val="17"/>
          <w:szCs w:val="17"/>
          <w:color w:val="auto"/>
        </w:rPr>
      </w:pPr>
    </w:p>
    <w:p>
      <w:pPr>
        <w:ind w:left="3140" w:right="20" w:firstLine="5"/>
        <w:spacing w:after="0" w:line="273" w:lineRule="auto"/>
        <w:tabs>
          <w:tab w:leader="none" w:pos="3462"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where the shareholders’ personal rights are infringed;</w:t>
      </w:r>
    </w:p>
    <w:p>
      <w:pPr>
        <w:spacing w:after="0" w:line="134" w:lineRule="exact"/>
        <w:rPr>
          <w:rFonts w:ascii="Arial" w:cs="Arial" w:eastAsia="Arial" w:hAnsi="Arial"/>
          <w:sz w:val="17"/>
          <w:szCs w:val="17"/>
          <w:color w:val="auto"/>
        </w:rPr>
      </w:pPr>
    </w:p>
    <w:p>
      <w:pPr>
        <w:ind w:left="3140" w:firstLine="5"/>
        <w:spacing w:after="0" w:line="273" w:lineRule="auto"/>
        <w:tabs>
          <w:tab w:leader="none" w:pos="34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where a fraud has been perpetrated upon a minority by those in control; or</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Under Delaware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ectPr>
          <w:pgSz w:w="11900" w:h="16838" w:orient="portrait"/>
          <w:cols w:equalWidth="0" w:num="2">
            <w:col w:w="7100" w:space="200"/>
            <w:col w:w="3840"/>
          </w:cols>
          <w:pgMar w:left="320" w:top="233"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32" w:lineRule="exact"/>
        <w:rPr>
          <w:sz w:val="20"/>
          <w:szCs w:val="20"/>
          <w:color w:val="auto"/>
        </w:rPr>
      </w:pPr>
    </w:p>
    <w:p>
      <w:pPr>
        <w:jc w:val="both"/>
        <w:ind w:left="3040"/>
        <w:spacing w:after="0"/>
        <w:tabs>
          <w:tab w:leader="none" w:pos="72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10795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96" w:lineRule="exact"/>
        <w:rPr>
          <w:sz w:val="20"/>
          <w:szCs w:val="20"/>
          <w:color w:val="auto"/>
        </w:rPr>
      </w:pPr>
    </w:p>
    <w:p>
      <w:pPr>
        <w:ind w:left="3140" w:right="3059" w:firstLine="5"/>
        <w:spacing w:after="0" w:line="273" w:lineRule="auto"/>
        <w:tabs>
          <w:tab w:leader="none" w:pos="34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where the justice of the case requires a minority to be permitted to institute proceedings.</w:t>
      </w:r>
    </w:p>
    <w:p>
      <w:pPr>
        <w:spacing w:after="0" w:line="135"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Shareholders may also bring proceedings against</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the company where the affairs of the company are</w:t>
      </w:r>
    </w:p>
    <w:p>
      <w:pPr>
        <w:ind w:left="3140"/>
        <w:spacing w:after="0" w:line="237" w:lineRule="auto"/>
        <w:rPr>
          <w:sz w:val="20"/>
          <w:szCs w:val="20"/>
          <w:color w:val="auto"/>
        </w:rPr>
      </w:pPr>
      <w:r>
        <w:rPr>
          <w:rFonts w:ascii="Arial" w:cs="Arial" w:eastAsia="Arial" w:hAnsi="Arial"/>
          <w:sz w:val="17"/>
          <w:szCs w:val="17"/>
          <w:color w:val="auto"/>
        </w:rPr>
        <w:t>being conducted, or the powers of the directors are</w:t>
      </w:r>
    </w:p>
    <w:p>
      <w:pPr>
        <w:ind w:left="3140"/>
        <w:spacing w:after="0" w:line="237" w:lineRule="auto"/>
        <w:rPr>
          <w:sz w:val="20"/>
          <w:szCs w:val="20"/>
          <w:color w:val="auto"/>
        </w:rPr>
      </w:pPr>
      <w:r>
        <w:rPr>
          <w:rFonts w:ascii="Arial" w:cs="Arial" w:eastAsia="Arial" w:hAnsi="Arial"/>
          <w:sz w:val="17"/>
          <w:szCs w:val="17"/>
          <w:color w:val="auto"/>
        </w:rPr>
        <w:t>being exercised, in a manner oppressive to the</w:t>
      </w:r>
    </w:p>
    <w:p>
      <w:pPr>
        <w:ind w:left="3140"/>
        <w:spacing w:after="0" w:line="237" w:lineRule="auto"/>
        <w:rPr>
          <w:sz w:val="20"/>
          <w:szCs w:val="20"/>
          <w:color w:val="auto"/>
        </w:rPr>
      </w:pPr>
      <w:r>
        <w:rPr>
          <w:rFonts w:ascii="Arial" w:cs="Arial" w:eastAsia="Arial" w:hAnsi="Arial"/>
          <w:sz w:val="17"/>
          <w:szCs w:val="17"/>
          <w:color w:val="auto"/>
        </w:rPr>
        <w:t>shareholders  or  in  disregard  of  their  interests.</w:t>
      </w:r>
    </w:p>
    <w:p>
      <w:pPr>
        <w:ind w:left="3140"/>
        <w:spacing w:after="0" w:line="237" w:lineRule="auto"/>
        <w:rPr>
          <w:sz w:val="20"/>
          <w:szCs w:val="20"/>
          <w:color w:val="auto"/>
        </w:rPr>
      </w:pPr>
      <w:r>
        <w:rPr>
          <w:rFonts w:ascii="Arial" w:cs="Arial" w:eastAsia="Arial" w:hAnsi="Arial"/>
          <w:sz w:val="17"/>
          <w:szCs w:val="17"/>
          <w:color w:val="auto"/>
        </w:rPr>
        <w:t>Oppression connotes conduct that is burdensome,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harsh or wrong.</w:t>
      </w:r>
    </w:p>
    <w:p>
      <w:pPr>
        <w:spacing w:after="0" w:line="175"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Conduct must relate to the internal management of</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the company. This is an Irish statutory remedy and</w:t>
      </w:r>
    </w:p>
    <w:p>
      <w:pPr>
        <w:ind w:left="3140"/>
        <w:spacing w:after="0" w:line="237" w:lineRule="auto"/>
        <w:rPr>
          <w:sz w:val="20"/>
          <w:szCs w:val="20"/>
          <w:color w:val="auto"/>
        </w:rPr>
      </w:pPr>
      <w:r>
        <w:rPr>
          <w:rFonts w:ascii="Arial" w:cs="Arial" w:eastAsia="Arial" w:hAnsi="Arial"/>
          <w:sz w:val="17"/>
          <w:szCs w:val="17"/>
          <w:color w:val="auto"/>
        </w:rPr>
        <w:t>the court can grant any order it sees fit, usually</w:t>
      </w:r>
    </w:p>
    <w:p>
      <w:pPr>
        <w:ind w:left="3140"/>
        <w:spacing w:after="0" w:line="237" w:lineRule="auto"/>
        <w:rPr>
          <w:sz w:val="20"/>
          <w:szCs w:val="20"/>
          <w:color w:val="auto"/>
        </w:rPr>
      </w:pPr>
      <w:r>
        <w:rPr>
          <w:rFonts w:ascii="Arial" w:cs="Arial" w:eastAsia="Arial" w:hAnsi="Arial"/>
          <w:sz w:val="17"/>
          <w:szCs w:val="17"/>
          <w:color w:val="auto"/>
        </w:rPr>
        <w:t>providing for the purchase or transfer of the shares</w:t>
      </w:r>
    </w:p>
    <w:p>
      <w:pPr>
        <w:ind w:left="3140"/>
        <w:spacing w:after="0"/>
        <w:rPr>
          <w:sz w:val="20"/>
          <w:szCs w:val="20"/>
          <w:color w:val="auto"/>
        </w:rPr>
      </w:pPr>
      <w:r>
        <w:rPr>
          <w:rFonts w:ascii="Arial" w:cs="Arial" w:eastAsia="Arial" w:hAnsi="Arial"/>
          <w:sz w:val="17"/>
          <w:szCs w:val="17"/>
          <w:color w:val="auto"/>
        </w:rPr>
        <w:t>of any shareholder.</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DEBT SECURITIES</w:t>
      </w:r>
    </w:p>
    <w:p>
      <w:pPr>
        <w:spacing w:after="0" w:line="193"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WARRANTS</w:t>
      </w:r>
    </w:p>
    <w:p>
      <w:pPr>
        <w:spacing w:after="0" w:line="193"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UNITS</w:t>
      </w:r>
    </w:p>
    <w:p>
      <w:pPr>
        <w:spacing w:after="0" w:line="19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As specified in the applicable prospectus supplement, we may issue units consisting of one or more ordinary shares, debt securities, warrants or any combination of such securities. The terms of the units and the securities comprising such units and the material terms of the unit agreement will be set forth in the applicable prospectus supplement.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SUBSCRIPTION RIGHTS</w:t>
      </w:r>
    </w:p>
    <w:p>
      <w:pPr>
        <w:spacing w:after="0" w:line="193"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157"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FORMS OF SECURITIES</w:t>
      </w:r>
    </w:p>
    <w:p>
      <w:pPr>
        <w:spacing w:after="0" w:line="193"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Global Securities</w:t>
      </w:r>
    </w:p>
    <w:p>
      <w:pPr>
        <w:spacing w:after="0" w:line="193"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0"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50"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62" w:lineRule="exact"/>
        <w:rPr>
          <w:sz w:val="20"/>
          <w:szCs w:val="20"/>
          <w:color w:val="auto"/>
        </w:rPr>
      </w:pPr>
    </w:p>
    <w:p>
      <w:pPr>
        <w:jc w:val="both"/>
        <w:ind w:firstLine="309"/>
        <w:spacing w:after="0"/>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60" w:lineRule="exact"/>
        <w:rPr>
          <w:sz w:val="20"/>
          <w:szCs w:val="20"/>
          <w:color w:val="auto"/>
        </w:rPr>
      </w:pPr>
    </w:p>
    <w:p>
      <w:pPr>
        <w:jc w:val="both"/>
        <w:ind w:firstLine="309"/>
        <w:spacing w:after="0" w:line="244"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60"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PLAN OF DISTRIBUTION</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may sell the securities in one or more of the following ways (or in any combination) from time to time:</w:t>
      </w:r>
    </w:p>
    <w:p>
      <w:pPr>
        <w:spacing w:after="0" w:line="191" w:lineRule="exact"/>
        <w:rPr>
          <w:sz w:val="20"/>
          <w:szCs w:val="20"/>
          <w:color w:val="auto"/>
        </w:rPr>
      </w:pPr>
    </w:p>
    <w:p>
      <w:pPr>
        <w:ind w:left="620" w:hanging="308"/>
        <w:spacing w:after="0"/>
        <w:tabs>
          <w:tab w:leader="none" w:pos="6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through underwriters or dealers;</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directly to a limited number of purchasers or to a single purchaser;</w:t>
      </w:r>
    </w:p>
    <w:p>
      <w:pPr>
        <w:spacing w:after="0" w:line="202" w:lineRule="exact"/>
        <w:rPr>
          <w:rFonts w:ascii="Times New Roman" w:cs="Times New Roman" w:eastAsia="Times New Roman" w:hAnsi="Times New Roman"/>
          <w:sz w:val="17"/>
          <w:szCs w:val="17"/>
          <w:color w:val="auto"/>
        </w:rPr>
      </w:pPr>
    </w:p>
    <w:p>
      <w:pPr>
        <w:ind w:left="620" w:hanging="308"/>
        <w:spacing w:after="0" w:line="272" w:lineRule="auto"/>
        <w:tabs>
          <w:tab w:leader="none" w:pos="6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in “at the market offerings,” within the meaning of Rule 415(a)(4) of the Securities Act, to or through a market maker or into an existing trading market on an exchange or otherwise;</w:t>
      </w:r>
    </w:p>
    <w:p>
      <w:pPr>
        <w:spacing w:after="0" w:line="13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through agents; or</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through any other method permitted by applicable law and described in the applicable prospectus supplement.</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prospectus supplement will state the terms of the offering of the securities, including:</w:t>
      </w:r>
    </w:p>
    <w:p>
      <w:pPr>
        <w:spacing w:after="0" w:line="191" w:lineRule="exact"/>
        <w:rPr>
          <w:sz w:val="20"/>
          <w:szCs w:val="20"/>
          <w:color w:val="auto"/>
        </w:rPr>
      </w:pPr>
    </w:p>
    <w:p>
      <w:pPr>
        <w:ind w:left="620" w:hanging="308"/>
        <w:spacing w:after="0"/>
        <w:tabs>
          <w:tab w:leader="none" w:pos="6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name or names of any underwriters, dealers or agents;</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purchase price of such securities and the proceeds to be received by us, if any;</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any underwriting discounts or agency fees and other items constituting underwriters’ or agents’ compensation;</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any initial public offering price;</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any discounts or concessions allowed or reallowed or paid to dealers; and</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any securities exchanges on which the securities may be listed.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191" w:lineRule="exact"/>
        <w:rPr>
          <w:sz w:val="20"/>
          <w:szCs w:val="20"/>
          <w:color w:val="auto"/>
        </w:rPr>
      </w:pPr>
    </w:p>
    <w:p>
      <w:pPr>
        <w:ind w:firstLine="309"/>
        <w:spacing w:after="0" w:line="273" w:lineRule="auto"/>
        <w:rPr>
          <w:sz w:val="20"/>
          <w:szCs w:val="20"/>
          <w:color w:val="auto"/>
        </w:rPr>
      </w:pPr>
      <w:r>
        <w:rPr>
          <w:rFonts w:ascii="Arial" w:cs="Arial" w:eastAsia="Arial" w:hAnsi="Arial"/>
          <w:sz w:val="17"/>
          <w:szCs w:val="17"/>
          <w:color w:val="auto"/>
        </w:rPr>
        <w:t>If underwriters are used in the sale, the securities will be acquired by the underwriters for their own account and may be resold from time to time in one or more transactions, including:</w:t>
      </w:r>
    </w:p>
    <w:p>
      <w:pPr>
        <w:spacing w:after="0" w:line="135" w:lineRule="exact"/>
        <w:rPr>
          <w:sz w:val="20"/>
          <w:szCs w:val="20"/>
          <w:color w:val="auto"/>
        </w:rPr>
      </w:pPr>
    </w:p>
    <w:p>
      <w:pPr>
        <w:ind w:left="620" w:hanging="308"/>
        <w:spacing w:after="0"/>
        <w:tabs>
          <w:tab w:leader="none" w:pos="6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negotiated transactions;</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at a fixed public offering price or prices, which may be changed;</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at market prices prevailing at the time of sale;</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at prices related to prevailing market prices; or</w:t>
      </w:r>
    </w:p>
    <w:p>
      <w:pPr>
        <w:spacing w:after="0" w:line="20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at negotiated prices.</w:t>
      </w:r>
    </w:p>
    <w:p>
      <w:pPr>
        <w:spacing w:after="0" w:line="203" w:lineRule="exact"/>
        <w:rPr>
          <w:sz w:val="20"/>
          <w:szCs w:val="20"/>
          <w:color w:val="auto"/>
        </w:rPr>
      </w:pPr>
    </w:p>
    <w:p>
      <w:pPr>
        <w:ind w:firstLine="309"/>
        <w:spacing w:after="0" w:line="273" w:lineRule="auto"/>
        <w:rPr>
          <w:sz w:val="20"/>
          <w:szCs w:val="20"/>
          <w:color w:val="auto"/>
        </w:rPr>
      </w:pPr>
      <w:r>
        <w:rPr>
          <w:rFonts w:ascii="Arial" w:cs="Arial" w:eastAsia="Arial" w:hAnsi="Arial"/>
          <w:sz w:val="17"/>
          <w:szCs w:val="17"/>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35" w:lineRule="exact"/>
        <w:rPr>
          <w:sz w:val="20"/>
          <w:szCs w:val="20"/>
          <w:color w:val="auto"/>
        </w:rPr>
      </w:pPr>
    </w:p>
    <w:p>
      <w:pPr>
        <w:ind w:firstLine="309"/>
        <w:spacing w:after="0" w:line="273" w:lineRule="auto"/>
        <w:rPr>
          <w:sz w:val="20"/>
          <w:szCs w:val="20"/>
          <w:color w:val="auto"/>
        </w:rPr>
      </w:pPr>
      <w:r>
        <w:rPr>
          <w:rFonts w:ascii="Arial" w:cs="Arial" w:eastAsia="Arial" w:hAnsi="Arial"/>
          <w:sz w:val="17"/>
          <w:szCs w:val="17"/>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361"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5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3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5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Underwriters and agents may be customers of, engage in transactions with, or perform services for us and our affiliates in the ordinary course of business.</w:t>
      </w:r>
    </w:p>
    <w:p>
      <w:pPr>
        <w:spacing w:after="0" w:line="135"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EXPENSES</w:t>
      </w:r>
    </w:p>
    <w:p>
      <w:pPr>
        <w:spacing w:after="0" w:line="19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00" w:type="dxa"/>
            <w:vAlign w:val="bottom"/>
            <w:gridSpan w:val="2"/>
          </w:tcPr>
          <w:p>
            <w:pPr>
              <w:spacing w:after="0"/>
              <w:rPr>
                <w:sz w:val="20"/>
                <w:szCs w:val="20"/>
                <w:color w:val="auto"/>
              </w:rPr>
            </w:pPr>
            <w:r>
              <w:rPr>
                <w:rFonts w:ascii="Arial" w:cs="Arial" w:eastAsia="Arial" w:hAnsi="Arial"/>
                <w:sz w:val="17"/>
                <w:szCs w:val="17"/>
                <w:b w:val="1"/>
                <w:bCs w:val="1"/>
                <w:color w:val="auto"/>
              </w:rPr>
              <w:t>Expense</w:t>
            </w:r>
          </w:p>
        </w:tc>
        <w:tc>
          <w:tcPr>
            <w:tcW w:w="680" w:type="dxa"/>
            <w:vAlign w:val="bottom"/>
          </w:tcPr>
          <w:p>
            <w:pPr>
              <w:spacing w:after="0"/>
              <w:rPr>
                <w:sz w:val="20"/>
                <w:szCs w:val="20"/>
                <w:color w:val="auto"/>
              </w:rPr>
            </w:pPr>
            <w:r>
              <w:rPr>
                <w:rFonts w:ascii="Arial" w:cs="Arial" w:eastAsia="Arial" w:hAnsi="Arial"/>
                <w:sz w:val="17"/>
                <w:szCs w:val="17"/>
                <w:b w:val="1"/>
                <w:bCs w:val="1"/>
                <w:color w:val="auto"/>
              </w:rPr>
              <w:t>Amount</w:t>
            </w:r>
          </w:p>
        </w:tc>
        <w:tc>
          <w:tcPr>
            <w:tcW w:w="660" w:type="dxa"/>
            <w:vAlign w:val="bottom"/>
          </w:tcPr>
          <w:p>
            <w:pPr>
              <w:spacing w:after="0"/>
              <w:rPr>
                <w:sz w:val="18"/>
                <w:szCs w:val="18"/>
                <w:color w:val="auto"/>
              </w:rPr>
            </w:pPr>
          </w:p>
        </w:tc>
      </w:tr>
      <w:tr>
        <w:trPr>
          <w:trHeight w:val="186"/>
        </w:trPr>
        <w:tc>
          <w:tcPr>
            <w:tcW w:w="9780" w:type="dxa"/>
            <w:vAlign w:val="bottom"/>
            <w:tcBorders>
              <w:top w:val="single" w:sz="8" w:color="auto"/>
            </w:tcBorders>
            <w:shd w:val="clear" w:color="auto" w:fill="D5EAEA"/>
          </w:tcPr>
          <w:p>
            <w:pPr>
              <w:spacing w:after="0" w:line="186" w:lineRule="exact"/>
              <w:rPr>
                <w:sz w:val="20"/>
                <w:szCs w:val="20"/>
                <w:color w:val="auto"/>
              </w:rPr>
            </w:pPr>
            <w:r>
              <w:rPr>
                <w:rFonts w:ascii="Arial" w:cs="Arial" w:eastAsia="Arial" w:hAnsi="Arial"/>
                <w:sz w:val="17"/>
                <w:szCs w:val="17"/>
                <w:color w:val="auto"/>
              </w:rPr>
              <w:t>SEC registration fee</w:t>
            </w:r>
          </w:p>
        </w:tc>
        <w:tc>
          <w:tcPr>
            <w:tcW w:w="120" w:type="dxa"/>
            <w:vAlign w:val="bottom"/>
            <w:tcBorders>
              <w:top w:val="single" w:sz="8" w:color="D5EAEA"/>
            </w:tcBorders>
            <w:shd w:val="clear" w:color="auto" w:fill="D5EAEA"/>
          </w:tcPr>
          <w:p>
            <w:pPr>
              <w:spacing w:after="0"/>
              <w:rPr>
                <w:sz w:val="16"/>
                <w:szCs w:val="16"/>
                <w:color w:val="auto"/>
              </w:rPr>
            </w:pPr>
          </w:p>
        </w:tc>
        <w:tc>
          <w:tcPr>
            <w:tcW w:w="680" w:type="dxa"/>
            <w:vAlign w:val="bottom"/>
            <w:tcBorders>
              <w:top w:val="single" w:sz="8" w:color="auto"/>
            </w:tcBorders>
            <w:shd w:val="clear" w:color="auto" w:fill="D5EAEA"/>
          </w:tcPr>
          <w:p>
            <w:pPr>
              <w:spacing w:after="0" w:line="186"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D5EAEA"/>
          </w:tcPr>
          <w:p>
            <w:pPr>
              <w:jc w:val="right"/>
              <w:ind w:right="14"/>
              <w:spacing w:after="0" w:line="186" w:lineRule="exact"/>
              <w:rPr>
                <w:sz w:val="20"/>
                <w:szCs w:val="20"/>
                <w:color w:val="auto"/>
              </w:rPr>
            </w:pPr>
            <w:r>
              <w:rPr>
                <w:rFonts w:ascii="Arial" w:cs="Arial" w:eastAsia="Arial" w:hAnsi="Arial"/>
                <w:sz w:val="17"/>
                <w:szCs w:val="17"/>
                <w:color w:val="auto"/>
              </w:rPr>
              <w:t>22,040</w:t>
            </w:r>
          </w:p>
        </w:tc>
      </w:tr>
      <w:tr>
        <w:trPr>
          <w:trHeight w:val="193"/>
        </w:trPr>
        <w:tc>
          <w:tcPr>
            <w:tcW w:w="9900" w:type="dxa"/>
            <w:vAlign w:val="bottom"/>
            <w:gridSpan w:val="2"/>
          </w:tcPr>
          <w:p>
            <w:pPr>
              <w:spacing w:after="0" w:line="194" w:lineRule="exact"/>
              <w:rPr>
                <w:sz w:val="20"/>
                <w:szCs w:val="20"/>
                <w:color w:val="auto"/>
              </w:rPr>
            </w:pPr>
            <w:r>
              <w:rPr>
                <w:rFonts w:ascii="Arial" w:cs="Arial" w:eastAsia="Arial" w:hAnsi="Arial"/>
                <w:sz w:val="17"/>
                <w:szCs w:val="17"/>
                <w:color w:val="auto"/>
              </w:rPr>
              <w:t>FINRA filing fee</w:t>
            </w:r>
          </w:p>
        </w:tc>
        <w:tc>
          <w:tcPr>
            <w:tcW w:w="680" w:type="dxa"/>
            <w:vAlign w:val="bottom"/>
          </w:tcPr>
          <w:p>
            <w:pPr>
              <w:spacing w:after="0"/>
              <w:rPr>
                <w:sz w:val="16"/>
                <w:szCs w:val="16"/>
                <w:color w:val="auto"/>
              </w:rPr>
            </w:pPr>
          </w:p>
        </w:tc>
        <w:tc>
          <w:tcPr>
            <w:tcW w:w="6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30,500</w:t>
            </w:r>
          </w:p>
        </w:tc>
      </w:tr>
      <w:tr>
        <w:trPr>
          <w:trHeight w:val="193"/>
        </w:trPr>
        <w:tc>
          <w:tcPr>
            <w:tcW w:w="9900" w:type="dxa"/>
            <w:vAlign w:val="bottom"/>
            <w:gridSpan w:val="2"/>
            <w:shd w:val="clear" w:color="auto" w:fill="D5EAEA"/>
          </w:tcPr>
          <w:p>
            <w:pPr>
              <w:spacing w:after="0" w:line="194" w:lineRule="exact"/>
              <w:rPr>
                <w:sz w:val="20"/>
                <w:szCs w:val="20"/>
                <w:color w:val="auto"/>
              </w:rPr>
            </w:pPr>
            <w:r>
              <w:rPr>
                <w:rFonts w:ascii="Arial" w:cs="Arial" w:eastAsia="Arial" w:hAnsi="Arial"/>
                <w:sz w:val="17"/>
                <w:szCs w:val="17"/>
                <w:color w:val="auto"/>
              </w:rPr>
              <w:t>Printing and engraving expenses</w:t>
            </w:r>
          </w:p>
        </w:tc>
        <w:tc>
          <w:tcPr>
            <w:tcW w:w="680" w:type="dxa"/>
            <w:vAlign w:val="bottom"/>
            <w:shd w:val="clear" w:color="auto" w:fill="D5EAEA"/>
          </w:tcPr>
          <w:p>
            <w:pPr>
              <w:spacing w:after="0"/>
              <w:rPr>
                <w:sz w:val="16"/>
                <w:szCs w:val="16"/>
                <w:color w:val="auto"/>
              </w:rPr>
            </w:pPr>
          </w:p>
        </w:tc>
        <w:tc>
          <w:tcPr>
            <w:tcW w:w="660" w:type="dxa"/>
            <w:vAlign w:val="bottom"/>
            <w:shd w:val="clear" w:color="auto" w:fill="D5EAEA"/>
          </w:tcPr>
          <w:p>
            <w:pPr>
              <w:jc w:val="right"/>
              <w:ind w:right="14"/>
              <w:spacing w:after="0" w:line="194" w:lineRule="exact"/>
              <w:rPr>
                <w:sz w:val="20"/>
                <w:szCs w:val="20"/>
                <w:color w:val="auto"/>
              </w:rPr>
            </w:pPr>
            <w:r>
              <w:rPr>
                <w:rFonts w:ascii="Arial" w:cs="Arial" w:eastAsia="Arial" w:hAnsi="Arial"/>
                <w:sz w:val="17"/>
                <w:szCs w:val="17"/>
                <w:color w:val="auto"/>
              </w:rPr>
              <w:t>*</w:t>
            </w:r>
          </w:p>
        </w:tc>
      </w:tr>
      <w:tr>
        <w:trPr>
          <w:trHeight w:val="193"/>
        </w:trPr>
        <w:tc>
          <w:tcPr>
            <w:tcW w:w="9900" w:type="dxa"/>
            <w:vAlign w:val="bottom"/>
            <w:gridSpan w:val="2"/>
          </w:tcPr>
          <w:p>
            <w:pPr>
              <w:spacing w:after="0" w:line="194" w:lineRule="exact"/>
              <w:rPr>
                <w:sz w:val="20"/>
                <w:szCs w:val="20"/>
                <w:color w:val="auto"/>
              </w:rPr>
            </w:pPr>
            <w:r>
              <w:rPr>
                <w:rFonts w:ascii="Arial" w:cs="Arial" w:eastAsia="Arial" w:hAnsi="Arial"/>
                <w:sz w:val="17"/>
                <w:szCs w:val="17"/>
                <w:color w:val="auto"/>
              </w:rPr>
              <w:t>Legal fees and expenses</w:t>
            </w:r>
          </w:p>
        </w:tc>
        <w:tc>
          <w:tcPr>
            <w:tcW w:w="680" w:type="dxa"/>
            <w:vAlign w:val="bottom"/>
          </w:tcPr>
          <w:p>
            <w:pPr>
              <w:spacing w:after="0"/>
              <w:rPr>
                <w:sz w:val="16"/>
                <w:szCs w:val="16"/>
                <w:color w:val="auto"/>
              </w:rPr>
            </w:pPr>
          </w:p>
        </w:tc>
        <w:tc>
          <w:tcPr>
            <w:tcW w:w="6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r>
      <w:tr>
        <w:trPr>
          <w:trHeight w:val="193"/>
        </w:trPr>
        <w:tc>
          <w:tcPr>
            <w:tcW w:w="9900" w:type="dxa"/>
            <w:vAlign w:val="bottom"/>
            <w:gridSpan w:val="2"/>
            <w:shd w:val="clear" w:color="auto" w:fill="D5EAEA"/>
          </w:tcPr>
          <w:p>
            <w:pPr>
              <w:spacing w:after="0" w:line="194" w:lineRule="exact"/>
              <w:rPr>
                <w:sz w:val="20"/>
                <w:szCs w:val="20"/>
                <w:color w:val="auto"/>
              </w:rPr>
            </w:pPr>
            <w:r>
              <w:rPr>
                <w:rFonts w:ascii="Arial" w:cs="Arial" w:eastAsia="Arial" w:hAnsi="Arial"/>
                <w:sz w:val="17"/>
                <w:szCs w:val="17"/>
                <w:color w:val="auto"/>
              </w:rPr>
              <w:t>Accounting fees and expenses</w:t>
            </w:r>
          </w:p>
        </w:tc>
        <w:tc>
          <w:tcPr>
            <w:tcW w:w="680" w:type="dxa"/>
            <w:vAlign w:val="bottom"/>
            <w:shd w:val="clear" w:color="auto" w:fill="D5EAEA"/>
          </w:tcPr>
          <w:p>
            <w:pPr>
              <w:spacing w:after="0"/>
              <w:rPr>
                <w:sz w:val="16"/>
                <w:szCs w:val="16"/>
                <w:color w:val="auto"/>
              </w:rPr>
            </w:pPr>
          </w:p>
        </w:tc>
        <w:tc>
          <w:tcPr>
            <w:tcW w:w="660" w:type="dxa"/>
            <w:vAlign w:val="bottom"/>
            <w:shd w:val="clear" w:color="auto" w:fill="D5EAEA"/>
          </w:tcPr>
          <w:p>
            <w:pPr>
              <w:jc w:val="right"/>
              <w:ind w:right="14"/>
              <w:spacing w:after="0" w:line="194" w:lineRule="exact"/>
              <w:rPr>
                <w:sz w:val="20"/>
                <w:szCs w:val="20"/>
                <w:color w:val="auto"/>
              </w:rPr>
            </w:pPr>
            <w:r>
              <w:rPr>
                <w:rFonts w:ascii="Arial" w:cs="Arial" w:eastAsia="Arial" w:hAnsi="Arial"/>
                <w:sz w:val="17"/>
                <w:szCs w:val="17"/>
                <w:color w:val="auto"/>
              </w:rPr>
              <w:t>*</w:t>
            </w:r>
          </w:p>
        </w:tc>
      </w:tr>
      <w:tr>
        <w:trPr>
          <w:trHeight w:val="193"/>
        </w:trPr>
        <w:tc>
          <w:tcPr>
            <w:tcW w:w="9900" w:type="dxa"/>
            <w:vAlign w:val="bottom"/>
            <w:gridSpan w:val="2"/>
          </w:tcPr>
          <w:p>
            <w:pPr>
              <w:spacing w:after="0" w:line="194" w:lineRule="exact"/>
              <w:rPr>
                <w:sz w:val="20"/>
                <w:szCs w:val="20"/>
                <w:color w:val="auto"/>
              </w:rPr>
            </w:pPr>
            <w:r>
              <w:rPr>
                <w:rFonts w:ascii="Arial" w:cs="Arial" w:eastAsia="Arial" w:hAnsi="Arial"/>
                <w:sz w:val="17"/>
                <w:szCs w:val="17"/>
                <w:color w:val="auto"/>
              </w:rPr>
              <w:t>Miscellaneous fees and expenses</w:t>
            </w:r>
          </w:p>
        </w:tc>
        <w:tc>
          <w:tcPr>
            <w:tcW w:w="680" w:type="dxa"/>
            <w:vAlign w:val="bottom"/>
          </w:tcPr>
          <w:p>
            <w:pPr>
              <w:spacing w:after="0"/>
              <w:rPr>
                <w:sz w:val="16"/>
                <w:szCs w:val="16"/>
                <w:color w:val="auto"/>
              </w:rPr>
            </w:pPr>
          </w:p>
        </w:tc>
        <w:tc>
          <w:tcPr>
            <w:tcW w:w="660" w:type="dxa"/>
            <w:vAlign w:val="bottom"/>
          </w:tcPr>
          <w:p>
            <w:pPr>
              <w:jc w:val="right"/>
              <w:ind w:right="14"/>
              <w:spacing w:after="0" w:line="194" w:lineRule="exact"/>
              <w:rPr>
                <w:sz w:val="20"/>
                <w:szCs w:val="20"/>
                <w:color w:val="auto"/>
              </w:rPr>
            </w:pPr>
            <w:r>
              <w:rPr>
                <w:rFonts w:ascii="Arial" w:cs="Arial" w:eastAsia="Arial" w:hAnsi="Arial"/>
                <w:sz w:val="17"/>
                <w:szCs w:val="17"/>
                <w:color w:val="auto"/>
              </w:rPr>
              <w:t>*</w:t>
            </w:r>
          </w:p>
        </w:tc>
      </w:tr>
      <w:tr>
        <w:trPr>
          <w:trHeight w:val="193"/>
        </w:trPr>
        <w:tc>
          <w:tcPr>
            <w:tcW w:w="9900" w:type="dxa"/>
            <w:vAlign w:val="bottom"/>
            <w:gridSpan w:val="2"/>
            <w:shd w:val="clear" w:color="auto" w:fill="D5EAEA"/>
          </w:tcPr>
          <w:p>
            <w:pPr>
              <w:spacing w:after="0" w:line="194" w:lineRule="exact"/>
              <w:rPr>
                <w:sz w:val="20"/>
                <w:szCs w:val="20"/>
                <w:color w:val="auto"/>
              </w:rPr>
            </w:pPr>
            <w:r>
              <w:rPr>
                <w:rFonts w:ascii="Arial" w:cs="Arial" w:eastAsia="Arial" w:hAnsi="Arial"/>
                <w:sz w:val="17"/>
                <w:szCs w:val="17"/>
                <w:b w:val="1"/>
                <w:bCs w:val="1"/>
                <w:color w:val="auto"/>
              </w:rPr>
              <w:t>Total</w:t>
            </w:r>
          </w:p>
        </w:tc>
        <w:tc>
          <w:tcPr>
            <w:tcW w:w="680" w:type="dxa"/>
            <w:vAlign w:val="bottom"/>
            <w:shd w:val="clear" w:color="auto" w:fill="D5EAEA"/>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shd w:val="clear" w:color="auto" w:fill="D5EAEA"/>
          </w:tcPr>
          <w:p>
            <w:pPr>
              <w:jc w:val="right"/>
              <w:ind w:right="14"/>
              <w:spacing w:after="0" w:line="194" w:lineRule="exact"/>
              <w:rPr>
                <w:sz w:val="20"/>
                <w:szCs w:val="20"/>
                <w:color w:val="auto"/>
              </w:rPr>
            </w:pPr>
            <w:r>
              <w:rPr>
                <w:rFonts w:ascii="Arial" w:cs="Arial" w:eastAsia="Arial" w:hAnsi="Arial"/>
                <w:sz w:val="17"/>
                <w:szCs w:val="17"/>
                <w:color w:val="auto"/>
              </w:rPr>
              <w:t>*</w:t>
            </w:r>
          </w:p>
        </w:tc>
      </w:tr>
    </w:tbl>
    <w:p>
      <w:pPr>
        <w:spacing w:after="0" w:line="176" w:lineRule="exact"/>
        <w:rPr>
          <w:sz w:val="20"/>
          <w:szCs w:val="20"/>
          <w:color w:val="auto"/>
        </w:rPr>
      </w:pPr>
    </w:p>
    <w:p>
      <w:pPr>
        <w:ind w:firstLine="3"/>
        <w:spacing w:after="0" w:line="273" w:lineRule="auto"/>
        <w:tabs>
          <w:tab w:leader="none" w:pos="23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These fees and expenses depend on the securities offered and the number of issuances, and accordingly cannot be estimated at this time and will be reflected in the applicable prospectus supplement.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9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We are being represented by Davis Polk &amp; Wardwell LLP with respect to certain legal matters as to U.S. federal securities and New York State law. The validity of certain securities and certain other matters with respect to Irish law will be passed upon for us by A&amp;L Goodbody LLP. Any underwriters, dealers or agents will be advised by their own legal counsel concerning issues relating to any offering.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93" w:lineRule="exact"/>
        <w:rPr>
          <w:sz w:val="20"/>
          <w:szCs w:val="20"/>
          <w:color w:val="auto"/>
        </w:rPr>
      </w:pPr>
    </w:p>
    <w:p>
      <w:pPr>
        <w:ind w:firstLine="773"/>
        <w:spacing w:after="0" w:line="249" w:lineRule="auto"/>
        <w:rPr>
          <w:sz w:val="20"/>
          <w:szCs w:val="20"/>
          <w:color w:val="auto"/>
        </w:rPr>
      </w:pPr>
      <w:r>
        <w:rPr>
          <w:rFonts w:ascii="Arial" w:cs="Arial" w:eastAsia="Arial" w:hAnsi="Arial"/>
          <w:sz w:val="17"/>
          <w:szCs w:val="17"/>
          <w:color w:val="auto"/>
        </w:rPr>
        <w:t>The financial statements as of December 31, 2022 and 2021 and for each of the two years in the period ended December 31, 2022 incorporated in this prospectus by reference to the Annual Report on Form 20-F for the year ended December 31, 2022 have been so incorporated in reliance on the report of PricewaterhouseCoopers, an independent registered public accounting firm, given on the authority of said firm as experts in auditing and accounting.</w:t>
      </w:r>
    </w:p>
    <w:p>
      <w:pPr>
        <w:spacing w:after="0" w:line="15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financial statements for the year ended December 31, 2020 incorporated in this prospectus by reference to the Annual Report on Form 20-F for the year ended December 31, 2022 have been so incorporated in reliance on the report of PricewaterhouseCoopers SA, an independent registered public accounting firm, given on the authority of said firm as experts in auditing and accounting.</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OF PROCESS AND ENFORCEMENT OF LIABILITIES</w:t>
      </w:r>
    </w:p>
    <w:p>
      <w:pPr>
        <w:spacing w:after="0" w:line="193" w:lineRule="exact"/>
        <w:rPr>
          <w:sz w:val="20"/>
          <w:szCs w:val="20"/>
          <w:color w:val="auto"/>
        </w:rPr>
      </w:pPr>
    </w:p>
    <w:p>
      <w:pPr>
        <w:jc w:val="both"/>
        <w:ind w:firstLine="343"/>
        <w:spacing w:after="0" w:line="244" w:lineRule="auto"/>
        <w:rPr>
          <w:sz w:val="20"/>
          <w:szCs w:val="20"/>
          <w:color w:val="auto"/>
        </w:rPr>
      </w:pPr>
      <w:r>
        <w:rPr>
          <w:rFonts w:ascii="Arial" w:cs="Arial" w:eastAsia="Arial" w:hAnsi="Arial"/>
          <w:sz w:val="17"/>
          <w:szCs w:val="17"/>
          <w:color w:val="auto"/>
        </w:rPr>
        <w:t>We are organized under the laws of Ireland and our registered address is in Dublin, Ireland. In addition, all members of our Board of Directors, and all of our officers,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93"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or furnish reports and other information with the SEC, including annual reports on Form 20-F and reports on Form 6 -K.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60"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We have filed with the SEC a “shelf”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358"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We maintain a corporate website at www.ghres.com, at which you may access these materials free of charge as soon as reasonably practicable after they are electronically filed with, or furnished to, the SEC. The reference to our website is an inactive textual reference only, and information contained in or connected to our website is not incorporated into this prospectus or the registration statement of which it forms a part.</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INCORPORATED BY REFERENCE</w:t>
      </w:r>
    </w:p>
    <w:p>
      <w:pPr>
        <w:spacing w:after="0" w:line="193"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w:t>
      </w:r>
    </w:p>
    <w:p>
      <w:pPr>
        <w:spacing w:after="0" w:line="160" w:lineRule="exact"/>
        <w:rPr>
          <w:sz w:val="20"/>
          <w:szCs w:val="20"/>
          <w:color w:val="auto"/>
        </w:rPr>
      </w:pPr>
    </w:p>
    <w:p>
      <w:pPr>
        <w:ind w:left="620" w:hanging="308"/>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74">
        <w:r>
          <w:rPr>
            <w:rFonts w:ascii="Arial" w:cs="Arial" w:eastAsia="Arial" w:hAnsi="Arial"/>
            <w:sz w:val="17"/>
            <w:szCs w:val="17"/>
            <w:u w:val="single" w:color="auto"/>
            <w:color w:val="0000EE"/>
          </w:rPr>
          <w:t>Form 20-F</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and</w:t>
      </w:r>
    </w:p>
    <w:p>
      <w:pPr>
        <w:spacing w:after="0" w:line="202" w:lineRule="exact"/>
        <w:rPr>
          <w:rFonts w:ascii="Arial" w:cs="Arial" w:eastAsia="Arial" w:hAnsi="Arial"/>
          <w:sz w:val="17"/>
          <w:szCs w:val="17"/>
          <w:color w:val="auto"/>
        </w:rPr>
      </w:pPr>
    </w:p>
    <w:p>
      <w:pPr>
        <w:jc w:val="both"/>
        <w:ind w:left="620" w:hanging="308"/>
        <w:spacing w:after="0" w:line="255"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our registration statement on </w:t>
      </w:r>
      <w:hyperlink r:id="rId75">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June 22, 2021, which incorporates by reference the description of our ordinary shares from our registration statement on Form F-1 (File No. 333-256796), and any amendment or report filed for the purpose of updating such description.</w:t>
      </w:r>
    </w:p>
    <w:p>
      <w:pPr>
        <w:spacing w:after="0" w:line="149" w:lineRule="exact"/>
        <w:rPr>
          <w:rFonts w:ascii="Times New Roman" w:cs="Times New Roman" w:eastAsia="Times New Roman" w:hAnsi="Times New Roman"/>
          <w:sz w:val="17"/>
          <w:szCs w:val="17"/>
          <w:color w:val="auto"/>
        </w:rPr>
      </w:pPr>
    </w:p>
    <w:p>
      <w:pPr>
        <w:jc w:val="both"/>
        <w:ind w:firstLine="309"/>
        <w:spacing w:after="0" w:line="244" w:lineRule="auto"/>
        <w:rPr>
          <w:sz w:val="20"/>
          <w:szCs w:val="20"/>
          <w:color w:val="auto"/>
        </w:rPr>
      </w:pPr>
      <w:r>
        <w:rPr>
          <w:rFonts w:ascii="Arial" w:cs="Arial" w:eastAsia="Arial" w:hAnsi="Arial"/>
          <w:sz w:val="17"/>
          <w:szCs w:val="17"/>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after the date hereof and prior to the completion of an offering of securities under this prospectus.</w:t>
      </w:r>
    </w:p>
    <w:p>
      <w:pPr>
        <w:spacing w:after="0" w:line="160" w:lineRule="exact"/>
        <w:rPr>
          <w:rFonts w:ascii="Times New Roman" w:cs="Times New Roman" w:eastAsia="Times New Roman" w:hAnsi="Times New Roman"/>
          <w:sz w:val="17"/>
          <w:szCs w:val="17"/>
          <w:color w:val="auto"/>
        </w:rPr>
      </w:pPr>
    </w:p>
    <w:p>
      <w:pPr>
        <w:jc w:val="both"/>
        <w:ind w:firstLine="309"/>
        <w:spacing w:after="0" w:line="243" w:lineRule="auto"/>
        <w:rPr>
          <w:sz w:val="20"/>
          <w:szCs w:val="20"/>
          <w:color w:val="auto"/>
        </w:rPr>
      </w:pPr>
      <w:r>
        <w:rPr>
          <w:rFonts w:ascii="Arial" w:cs="Arial" w:eastAsia="Arial" w:hAnsi="Arial"/>
          <w:sz w:val="17"/>
          <w:szCs w:val="17"/>
          <w:color w:val="auto"/>
        </w:rPr>
        <w:t>You can obtain any of the filings incorporated by reference in this prospectus through us or from the SEC through the SEC’s website at www.sec.gov. Our filings with the SEC, including our annual reports on Form 20-F and reports on Form 6-K and exhibits incorporated in and amendments to those reports, are also available free of charge on our website (www.ghres.com)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60" w:lineRule="exact"/>
        <w:rPr>
          <w:rFonts w:ascii="Times New Roman" w:cs="Times New Roman" w:eastAsia="Times New Roman" w:hAnsi="Times New Roman"/>
          <w:sz w:val="17"/>
          <w:szCs w:val="17"/>
          <w:color w:val="auto"/>
        </w:rPr>
      </w:pPr>
    </w:p>
    <w:p>
      <w:pPr>
        <w:ind w:left="5040"/>
        <w:spacing w:after="0"/>
        <w:rPr>
          <w:sz w:val="20"/>
          <w:szCs w:val="20"/>
          <w:color w:val="auto"/>
        </w:rPr>
      </w:pPr>
      <w:r>
        <w:rPr>
          <w:rFonts w:ascii="Arial" w:cs="Arial" w:eastAsia="Arial" w:hAnsi="Arial"/>
          <w:sz w:val="17"/>
          <w:szCs w:val="17"/>
          <w:color w:val="auto"/>
        </w:rPr>
        <w:t>GH Research PLC</w:t>
      </w:r>
    </w:p>
    <w:p>
      <w:pPr>
        <w:spacing w:after="0" w:line="11" w:lineRule="exact"/>
        <w:rPr>
          <w:rFonts w:ascii="Times New Roman" w:cs="Times New Roman" w:eastAsia="Times New Roman" w:hAnsi="Times New Roman"/>
          <w:sz w:val="17"/>
          <w:szCs w:val="17"/>
          <w:color w:val="auto"/>
        </w:rPr>
      </w:pPr>
    </w:p>
    <w:p>
      <w:pPr>
        <w:ind w:left="4900"/>
        <w:spacing w:after="0"/>
        <w:rPr>
          <w:sz w:val="20"/>
          <w:szCs w:val="20"/>
          <w:color w:val="auto"/>
        </w:rPr>
      </w:pPr>
      <w:r>
        <w:rPr>
          <w:rFonts w:ascii="Arial" w:cs="Arial" w:eastAsia="Arial" w:hAnsi="Arial"/>
          <w:sz w:val="17"/>
          <w:szCs w:val="17"/>
          <w:color w:val="auto"/>
        </w:rPr>
        <w:t>Joshua Dawson House</w:t>
      </w:r>
    </w:p>
    <w:p>
      <w:pPr>
        <w:ind w:left="5060"/>
        <w:spacing w:after="0" w:line="237" w:lineRule="auto"/>
        <w:rPr>
          <w:sz w:val="20"/>
          <w:szCs w:val="20"/>
          <w:color w:val="auto"/>
        </w:rPr>
      </w:pPr>
      <w:r>
        <w:rPr>
          <w:rFonts w:ascii="Arial" w:cs="Arial" w:eastAsia="Arial" w:hAnsi="Arial"/>
          <w:sz w:val="17"/>
          <w:szCs w:val="17"/>
          <w:color w:val="auto"/>
        </w:rPr>
        <w:t>Dawson Street</w:t>
      </w:r>
    </w:p>
    <w:p>
      <w:pPr>
        <w:ind w:left="5460"/>
        <w:spacing w:after="0" w:line="237" w:lineRule="auto"/>
        <w:rPr>
          <w:sz w:val="20"/>
          <w:szCs w:val="20"/>
          <w:color w:val="auto"/>
        </w:rPr>
      </w:pPr>
      <w:r>
        <w:rPr>
          <w:rFonts w:ascii="Arial" w:cs="Arial" w:eastAsia="Arial" w:hAnsi="Arial"/>
          <w:sz w:val="17"/>
          <w:szCs w:val="17"/>
          <w:color w:val="auto"/>
        </w:rPr>
        <w:t>Dublin 2</w:t>
      </w:r>
    </w:p>
    <w:p>
      <w:pPr>
        <w:ind w:left="5380"/>
        <w:spacing w:after="0" w:line="237" w:lineRule="auto"/>
        <w:rPr>
          <w:sz w:val="20"/>
          <w:szCs w:val="20"/>
          <w:color w:val="auto"/>
        </w:rPr>
      </w:pPr>
      <w:r>
        <w:rPr>
          <w:rFonts w:ascii="Arial" w:cs="Arial" w:eastAsia="Arial" w:hAnsi="Arial"/>
          <w:sz w:val="17"/>
          <w:szCs w:val="17"/>
          <w:color w:val="auto"/>
        </w:rPr>
        <w:t>D02 RY95</w:t>
      </w:r>
    </w:p>
    <w:p>
      <w:pPr>
        <w:jc w:val="center"/>
        <w:ind w:right="-319"/>
        <w:spacing w:after="0" w:line="237" w:lineRule="auto"/>
        <w:rPr>
          <w:sz w:val="20"/>
          <w:szCs w:val="20"/>
          <w:color w:val="auto"/>
        </w:rPr>
      </w:pPr>
      <w:r>
        <w:rPr>
          <w:rFonts w:ascii="Arial" w:cs="Arial" w:eastAsia="Arial" w:hAnsi="Arial"/>
          <w:sz w:val="17"/>
          <w:szCs w:val="17"/>
          <w:color w:val="auto"/>
        </w:rPr>
        <w:t>Ireland</w:t>
      </w:r>
    </w:p>
    <w:p>
      <w:pPr>
        <w:spacing w:after="0" w:line="1" w:lineRule="exact"/>
        <w:rPr>
          <w:rFonts w:ascii="Times New Roman" w:cs="Times New Roman" w:eastAsia="Times New Roman" w:hAnsi="Times New Roman"/>
          <w:sz w:val="17"/>
          <w:szCs w:val="17"/>
          <w:color w:val="auto"/>
        </w:rPr>
      </w:pPr>
    </w:p>
    <w:p>
      <w:pPr>
        <w:jc w:val="center"/>
        <w:ind w:right="-319"/>
        <w:spacing w:after="0"/>
        <w:rPr>
          <w:sz w:val="20"/>
          <w:szCs w:val="20"/>
          <w:color w:val="auto"/>
        </w:rPr>
      </w:pPr>
      <w:r>
        <w:rPr>
          <w:rFonts w:ascii="Arial" w:cs="Arial" w:eastAsia="Arial" w:hAnsi="Arial"/>
          <w:sz w:val="17"/>
          <w:szCs w:val="17"/>
          <w:color w:val="auto"/>
        </w:rPr>
        <w:t>+353 1 437 8334</w:t>
      </w:r>
    </w:p>
    <w:p>
      <w:pPr>
        <w:spacing w:after="0" w:line="278" w:lineRule="exact"/>
        <w:rPr>
          <w:rFonts w:ascii="Times New Roman" w:cs="Times New Roman" w:eastAsia="Times New Roman" w:hAnsi="Times New Roman"/>
          <w:sz w:val="17"/>
          <w:szCs w:val="17"/>
          <w:color w:val="auto"/>
        </w:rPr>
      </w:pPr>
    </w:p>
    <w:p>
      <w:pPr>
        <w:jc w:val="center"/>
        <w:ind w:right="40"/>
        <w:spacing w:after="0"/>
        <w:rPr>
          <w:sz w:val="20"/>
          <w:szCs w:val="20"/>
          <w:color w:val="auto"/>
        </w:rPr>
      </w:pPr>
      <w:r>
        <w:rPr>
          <w:rFonts w:ascii="Arial" w:cs="Arial" w:eastAsia="Arial" w:hAnsi="Arial"/>
          <w:sz w:val="17"/>
          <w:szCs w:val="17"/>
          <w:color w:val="auto"/>
        </w:rPr>
        <w:t>42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3"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$200,000,000</w:t>
      </w: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Ordinary Shares</w:t>
      </w:r>
    </w:p>
    <w:p>
      <w:pPr>
        <w:spacing w:after="0" w:line="31"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Debt Securities</w:t>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Warrants</w:t>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Units</w:t>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23"/>
          <w:szCs w:val="23"/>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191135</wp:posOffset>
            </wp:positionV>
            <wp:extent cx="2764155" cy="596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764155" cy="59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00"/>
        <w:spacing w:after="0"/>
        <w:rPr>
          <w:sz w:val="20"/>
          <w:szCs w:val="20"/>
          <w:color w:val="auto"/>
        </w:rPr>
      </w:pPr>
      <w:r>
        <w:rPr>
          <w:rFonts w:ascii="Arial" w:cs="Arial" w:eastAsia="Arial" w:hAnsi="Arial"/>
          <w:sz w:val="24"/>
          <w:szCs w:val="24"/>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 2023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344170</wp:posOffset>
            </wp:positionV>
            <wp:extent cx="7138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7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Indemnification of Directors and Officers.</w:t>
      </w:r>
    </w:p>
    <w:p>
      <w:pPr>
        <w:spacing w:after="0" w:line="193"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To the fullest extent permitted by Irish law, our Constitution (a copy of which is incorporated by reference as Exhibit 4.1 to this registration statement) confers an indemnity on our directors and officers. However, this indemnity is limited by the Irish Companies Act, which prescribes that an advance commitment to indemnify only permits a company to pay the costs or discharge the liability of a director or corporate secretary where judgment is given in favor of the director or corporate secretary in any civil or criminal action in respect of such costs or liability, or where an Irish court grants relief because the director or corporate secretary acted honestly and reasonably and ought fairly to be excused. Any provision whereby an Irish company seeks to commit in advance to indemnify its directors or corporate secretary over and above the limitations imposed by the Irish Companies Act will be void under Irish law, whether contained in the company’s constitution or any contract between the company and the director or corporate secretary. This restriction does not apply to our executives who are not directors or other persons who would not be considered “officers” within the meaning of that term under the Irish Companies Act.</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Our Constitution also contains indemnification and expense advancement provisions for persons who are not directors or our corporate secretary.</w:t>
      </w:r>
    </w:p>
    <w:p>
      <w:pPr>
        <w:spacing w:after="0" w:line="13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7"/>
          <w:szCs w:val="17"/>
          <w:color w:val="auto"/>
        </w:rPr>
        <w:t>We purchased directors’ and officers’ liability insurance, as well as other types of insurance, for our directors, officers, employees and agents, which is permitted under our Constitution and the Irish Companies Act.</w:t>
      </w:r>
    </w:p>
    <w:p>
      <w:pPr>
        <w:spacing w:after="0" w:line="13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Exhibits.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exhibits to the registration statement are listed in the exhibit index attached hereto and are incorporated by reference herein.</w:t>
      </w:r>
    </w:p>
    <w:p>
      <w:pPr>
        <w:spacing w:after="0" w:line="189"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Undertakings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undersigned hereby undertakes:</w:t>
      </w:r>
    </w:p>
    <w:p>
      <w:pPr>
        <w:spacing w:after="0" w:line="191" w:lineRule="exact"/>
        <w:rPr>
          <w:sz w:val="20"/>
          <w:szCs w:val="20"/>
          <w:color w:val="auto"/>
        </w:rPr>
      </w:pPr>
    </w:p>
    <w:p>
      <w:pPr>
        <w:ind w:left="620" w:hanging="308"/>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9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 to include any prospectus required by section 10(a)(3) of the Securities Act;</w:t>
      </w:r>
    </w:p>
    <w:p>
      <w:pPr>
        <w:spacing w:after="0" w:line="191" w:lineRule="exact"/>
        <w:rPr>
          <w:sz w:val="20"/>
          <w:szCs w:val="20"/>
          <w:color w:val="auto"/>
        </w:rPr>
      </w:pPr>
    </w:p>
    <w:p>
      <w:pPr>
        <w:jc w:val="both"/>
        <w:ind w:firstLine="312"/>
        <w:spacing w:after="0" w:line="243" w:lineRule="auto"/>
        <w:tabs>
          <w:tab w:leader="none" w:pos="57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59" w:lineRule="exact"/>
        <w:rPr>
          <w:rFonts w:ascii="Arial" w:cs="Arial" w:eastAsia="Arial" w:hAnsi="Arial"/>
          <w:sz w:val="17"/>
          <w:szCs w:val="17"/>
          <w:color w:val="auto"/>
        </w:rPr>
      </w:pPr>
    </w:p>
    <w:p>
      <w:pPr>
        <w:ind w:firstLine="312"/>
        <w:spacing w:after="0" w:line="273"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35"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provided, however, that paragraphs (a)(1), (a)(2) and (a)(3)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jc w:val="both"/>
        <w:ind w:firstLine="312"/>
        <w:spacing w:after="0" w:line="255" w:lineRule="auto"/>
        <w:tabs>
          <w:tab w:leader="none" w:pos="63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9" w:lineRule="exact"/>
        <w:rPr>
          <w:rFonts w:ascii="Arial" w:cs="Arial" w:eastAsia="Arial" w:hAnsi="Arial"/>
          <w:sz w:val="17"/>
          <w:szCs w:val="17"/>
          <w:color w:val="auto"/>
        </w:rPr>
      </w:pPr>
    </w:p>
    <w:p>
      <w:pPr>
        <w:ind w:firstLine="312"/>
        <w:spacing w:after="0" w:line="273" w:lineRule="auto"/>
        <w:tabs>
          <w:tab w:leader="none" w:pos="6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34" w:lineRule="exact"/>
        <w:rPr>
          <w:rFonts w:ascii="Arial" w:cs="Arial" w:eastAsia="Arial" w:hAnsi="Arial"/>
          <w:sz w:val="17"/>
          <w:szCs w:val="17"/>
          <w:color w:val="auto"/>
        </w:rPr>
      </w:pPr>
    </w:p>
    <w:p>
      <w:pPr>
        <w:jc w:val="both"/>
        <w:ind w:firstLine="312"/>
        <w:spacing w:after="0" w:line="242" w:lineRule="auto"/>
        <w:tabs>
          <w:tab w:leader="none" w:pos="62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spacing w:after="0" w:line="161" w:lineRule="exact"/>
        <w:rPr>
          <w:rFonts w:ascii="Arial" w:cs="Arial" w:eastAsia="Arial" w:hAnsi="Arial"/>
          <w:sz w:val="17"/>
          <w:szCs w:val="17"/>
          <w:color w:val="auto"/>
        </w:rPr>
      </w:pPr>
    </w:p>
    <w:p>
      <w:pPr>
        <w:ind w:left="620" w:hanging="308"/>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191" w:lineRule="exact"/>
        <w:rPr>
          <w:sz w:val="20"/>
          <w:szCs w:val="20"/>
          <w:color w:val="auto"/>
        </w:rPr>
      </w:pPr>
    </w:p>
    <w:p>
      <w:pPr>
        <w:ind w:firstLine="312"/>
        <w:spacing w:after="0" w:line="273" w:lineRule="auto"/>
        <w:tabs>
          <w:tab w:leader="none" w:pos="5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4" w:lineRule="exact"/>
        <w:rPr>
          <w:rFonts w:ascii="Arial" w:cs="Arial" w:eastAsia="Arial" w:hAnsi="Arial"/>
          <w:sz w:val="17"/>
          <w:szCs w:val="17"/>
          <w:color w:val="auto"/>
        </w:rPr>
      </w:pPr>
    </w:p>
    <w:p>
      <w:pPr>
        <w:jc w:val="both"/>
        <w:ind w:firstLine="312"/>
        <w:spacing w:after="0"/>
        <w:tabs>
          <w:tab w:leader="none" w:pos="5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68" w:lineRule="exact"/>
        <w:rPr>
          <w:sz w:val="20"/>
          <w:szCs w:val="20"/>
          <w:color w:val="auto"/>
        </w:rPr>
      </w:pPr>
    </w:p>
    <w:p>
      <w:pPr>
        <w:jc w:val="both"/>
        <w:ind w:firstLine="312"/>
        <w:spacing w:after="0" w:line="246" w:lineRule="auto"/>
        <w:tabs>
          <w:tab w:leader="none" w:pos="6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7" w:lineRule="exact"/>
        <w:rPr>
          <w:sz w:val="20"/>
          <w:szCs w:val="20"/>
          <w:color w:val="auto"/>
        </w:rPr>
      </w:pPr>
    </w:p>
    <w:p>
      <w:pPr>
        <w:ind w:left="560" w:hanging="248"/>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90" w:lineRule="exact"/>
        <w:rPr>
          <w:rFonts w:ascii="Arial" w:cs="Arial" w:eastAsia="Arial" w:hAnsi="Arial"/>
          <w:sz w:val="17"/>
          <w:szCs w:val="17"/>
          <w:color w:val="auto"/>
        </w:rPr>
      </w:pPr>
    </w:p>
    <w:p>
      <w:pPr>
        <w:ind w:firstLine="312"/>
        <w:spacing w:after="0" w:line="273" w:lineRule="auto"/>
        <w:tabs>
          <w:tab w:leader="none" w:pos="5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134" w:lineRule="exact"/>
        <w:rPr>
          <w:rFonts w:ascii="Arial" w:cs="Arial" w:eastAsia="Arial" w:hAnsi="Arial"/>
          <w:sz w:val="17"/>
          <w:szCs w:val="17"/>
          <w:color w:val="auto"/>
        </w:rPr>
      </w:pPr>
    </w:p>
    <w:p>
      <w:pPr>
        <w:ind w:firstLine="312"/>
        <w:spacing w:after="0" w:line="273" w:lineRule="auto"/>
        <w:tabs>
          <w:tab w:leader="none" w:pos="5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4" w:lineRule="exact"/>
        <w:rPr>
          <w:rFonts w:ascii="Arial" w:cs="Arial" w:eastAsia="Arial" w:hAnsi="Arial"/>
          <w:sz w:val="17"/>
          <w:szCs w:val="17"/>
          <w:color w:val="auto"/>
        </w:rPr>
      </w:pPr>
    </w:p>
    <w:p>
      <w:pPr>
        <w:ind w:left="560" w:hanging="248"/>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89"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The undersigned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7" w:lineRule="exact"/>
        <w:rPr>
          <w:sz w:val="20"/>
          <w:szCs w:val="20"/>
          <w:color w:val="auto"/>
        </w:rPr>
      </w:pPr>
    </w:p>
    <w:p>
      <w:pPr>
        <w:jc w:val="both"/>
        <w:ind w:firstLine="309"/>
        <w:spacing w:after="0" w:line="24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2"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1200" w:type="dxa"/>
            <w:vAlign w:val="bottom"/>
            <w:gridSpan w:val="7"/>
          </w:tcPr>
          <w:p>
            <w:pPr>
              <w:spacing w:after="0"/>
              <w:rPr>
                <w:sz w:val="20"/>
                <w:szCs w:val="20"/>
                <w:color w:val="auto"/>
              </w:rPr>
            </w:pPr>
            <w:r>
              <w:rPr>
                <w:rFonts w:ascii="Arial" w:cs="Arial" w:eastAsia="Arial" w:hAnsi="Arial"/>
                <w:sz w:val="14"/>
                <w:szCs w:val="14"/>
                <w:b w:val="1"/>
                <w:bCs w:val="1"/>
                <w:color w:val="0000EE"/>
                <w:w w:val="99"/>
              </w:rPr>
              <w:t>Table of Contents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940" w:type="dxa"/>
            <w:vAlign w:val="bottom"/>
            <w:gridSpan w:val="8"/>
          </w:tcPr>
          <w:p>
            <w:pPr>
              <w:ind w:left="680"/>
              <w:spacing w:after="0"/>
              <w:rPr>
                <w:sz w:val="20"/>
                <w:szCs w:val="20"/>
                <w:color w:val="auto"/>
              </w:rPr>
            </w:pPr>
            <w:r>
              <w:rPr>
                <w:rFonts w:ascii="Arial" w:cs="Arial" w:eastAsia="Arial" w:hAnsi="Arial"/>
                <w:sz w:val="17"/>
                <w:szCs w:val="17"/>
                <w:b w:val="1"/>
                <w:bCs w:val="1"/>
                <w:color w:val="auto"/>
              </w:rPr>
              <w:t>EXHIBIT INDEX</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Arial" w:cs="Arial" w:eastAsia="Arial" w:hAnsi="Arial"/>
                <w:sz w:val="17"/>
                <w:szCs w:val="17"/>
                <w:b w:val="1"/>
                <w:bCs w:val="1"/>
                <w:color w:val="auto"/>
              </w:rPr>
              <w:t>Exhibit No.</w:t>
            </w:r>
          </w:p>
        </w:tc>
        <w:tc>
          <w:tcPr>
            <w:tcW w:w="100" w:type="dxa"/>
            <w:vAlign w:val="bottom"/>
          </w:tcPr>
          <w:p>
            <w:pPr>
              <w:spacing w:after="0"/>
              <w:rPr>
                <w:sz w:val="18"/>
                <w:szCs w:val="18"/>
                <w:color w:val="auto"/>
              </w:rPr>
            </w:pPr>
          </w:p>
        </w:tc>
        <w:tc>
          <w:tcPr>
            <w:tcW w:w="4960" w:type="dxa"/>
            <w:vAlign w:val="bottom"/>
            <w:gridSpan w:val="18"/>
          </w:tcPr>
          <w:p>
            <w:pPr>
              <w:spacing w:after="0"/>
              <w:rPr>
                <w:sz w:val="20"/>
                <w:szCs w:val="20"/>
                <w:color w:val="auto"/>
              </w:rPr>
            </w:pPr>
            <w:r>
              <w:rPr>
                <w:rFonts w:ascii="Arial" w:cs="Arial" w:eastAsia="Arial" w:hAnsi="Arial"/>
                <w:sz w:val="17"/>
                <w:szCs w:val="17"/>
                <w:b w:val="1"/>
                <w:bCs w:val="1"/>
                <w:color w:val="auto"/>
              </w:rPr>
              <w:t>Description</w:t>
            </w:r>
          </w:p>
        </w:tc>
        <w:tc>
          <w:tcPr>
            <w:tcW w:w="560" w:type="dxa"/>
            <w:vAlign w:val="bottom"/>
          </w:tcPr>
          <w:p>
            <w:pPr>
              <w:spacing w:after="0"/>
              <w:rPr>
                <w:sz w:val="20"/>
                <w:szCs w:val="20"/>
                <w:color w:val="auto"/>
              </w:rPr>
            </w:pPr>
            <w:r>
              <w:rPr>
                <w:rFonts w:ascii="Arial" w:cs="Arial" w:eastAsia="Arial" w:hAnsi="Arial"/>
                <w:sz w:val="17"/>
                <w:szCs w:val="17"/>
                <w:b w:val="1"/>
                <w:bCs w:val="1"/>
                <w:color w:val="auto"/>
              </w:rPr>
              <w:t>Form</w:t>
            </w:r>
          </w:p>
        </w:tc>
        <w:tc>
          <w:tcPr>
            <w:tcW w:w="1460" w:type="dxa"/>
            <w:vAlign w:val="bottom"/>
            <w:gridSpan w:val="2"/>
          </w:tcPr>
          <w:p>
            <w:pPr>
              <w:ind w:left="120"/>
              <w:spacing w:after="0"/>
              <w:rPr>
                <w:sz w:val="20"/>
                <w:szCs w:val="20"/>
                <w:color w:val="auto"/>
              </w:rPr>
            </w:pPr>
            <w:r>
              <w:rPr>
                <w:rFonts w:ascii="Arial" w:cs="Arial" w:eastAsia="Arial" w:hAnsi="Arial"/>
                <w:sz w:val="17"/>
                <w:szCs w:val="17"/>
                <w:b w:val="1"/>
                <w:bCs w:val="1"/>
                <w:color w:val="auto"/>
              </w:rPr>
              <w:t>File No.</w:t>
            </w: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Filing Date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7"/>
                <w:szCs w:val="17"/>
                <w:color w:val="auto"/>
                <w:w w:val="99"/>
              </w:rPr>
              <w:t>1.1*</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auto"/>
            </w:tcBorders>
            <w:gridSpan w:val="17"/>
          </w:tcPr>
          <w:p>
            <w:pPr>
              <w:spacing w:after="0" w:line="169" w:lineRule="exact"/>
              <w:rPr>
                <w:sz w:val="20"/>
                <w:szCs w:val="20"/>
                <w:color w:val="auto"/>
              </w:rPr>
            </w:pPr>
            <w:r>
              <w:rPr>
                <w:rFonts w:ascii="Arial" w:cs="Arial" w:eastAsia="Arial" w:hAnsi="Arial"/>
                <w:sz w:val="17"/>
                <w:szCs w:val="17"/>
                <w:color w:val="auto"/>
              </w:rPr>
              <w:t>Form of Underwriting Agreement</w:t>
            </w: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0" w:type="dxa"/>
            <w:vAlign w:val="bottom"/>
            <w:gridSpan w:val="2"/>
          </w:tcPr>
          <w:p>
            <w:pPr>
              <w:ind w:left="60"/>
              <w:spacing w:after="0" w:line="185" w:lineRule="exact"/>
              <w:rPr>
                <w:rFonts w:ascii="Arial" w:cs="Arial" w:eastAsia="Arial" w:hAnsi="Arial"/>
                <w:sz w:val="17"/>
                <w:szCs w:val="17"/>
                <w:color w:val="0000EE"/>
                <w:w w:val="84"/>
              </w:rPr>
            </w:pPr>
            <w:hyperlink r:id="rId82">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18"/>
          </w:tcPr>
          <w:p>
            <w:pPr>
              <w:spacing w:after="0" w:line="185" w:lineRule="exact"/>
              <w:rPr>
                <w:rFonts w:ascii="Arial" w:cs="Arial" w:eastAsia="Arial" w:hAnsi="Arial"/>
                <w:sz w:val="17"/>
                <w:szCs w:val="17"/>
                <w:color w:val="0000EE"/>
              </w:rPr>
            </w:pPr>
            <w:hyperlink r:id="rId82">
              <w:r>
                <w:rPr>
                  <w:rFonts w:ascii="Arial" w:cs="Arial" w:eastAsia="Arial" w:hAnsi="Arial"/>
                  <w:sz w:val="17"/>
                  <w:szCs w:val="17"/>
                  <w:color w:val="0000EE"/>
                </w:rPr>
                <w:t>Constitution of GH Research PLC</w:t>
              </w:r>
            </w:hyperlink>
          </w:p>
        </w:tc>
        <w:tc>
          <w:tcPr>
            <w:tcW w:w="560" w:type="dxa"/>
            <w:vAlign w:val="bottom"/>
          </w:tcPr>
          <w:p>
            <w:pPr>
              <w:spacing w:after="0" w:line="185" w:lineRule="exact"/>
              <w:rPr>
                <w:sz w:val="20"/>
                <w:szCs w:val="20"/>
                <w:color w:val="auto"/>
              </w:rPr>
            </w:pPr>
            <w:r>
              <w:rPr>
                <w:rFonts w:ascii="Arial" w:cs="Arial" w:eastAsia="Arial" w:hAnsi="Arial"/>
                <w:sz w:val="17"/>
                <w:szCs w:val="17"/>
                <w:color w:val="auto"/>
              </w:rPr>
              <w:t>20-F</w:t>
            </w:r>
          </w:p>
        </w:tc>
        <w:tc>
          <w:tcPr>
            <w:tcW w:w="1460" w:type="dxa"/>
            <w:vAlign w:val="bottom"/>
            <w:gridSpan w:val="2"/>
          </w:tcPr>
          <w:p>
            <w:pPr>
              <w:ind w:left="120"/>
              <w:spacing w:after="0" w:line="185" w:lineRule="exact"/>
              <w:rPr>
                <w:sz w:val="20"/>
                <w:szCs w:val="20"/>
                <w:color w:val="auto"/>
              </w:rPr>
            </w:pPr>
            <w:r>
              <w:rPr>
                <w:rFonts w:ascii="Arial" w:cs="Arial" w:eastAsia="Arial" w:hAnsi="Arial"/>
                <w:sz w:val="17"/>
                <w:szCs w:val="17"/>
                <w:color w:val="auto"/>
              </w:rPr>
              <w:t>001-40530</w:t>
            </w:r>
          </w:p>
        </w:tc>
        <w:tc>
          <w:tcPr>
            <w:tcW w:w="1460" w:type="dxa"/>
            <w:vAlign w:val="bottom"/>
            <w:gridSpan w:val="2"/>
          </w:tcPr>
          <w:p>
            <w:pPr>
              <w:ind w:left="100"/>
              <w:spacing w:after="0" w:line="185" w:lineRule="exact"/>
              <w:rPr>
                <w:sz w:val="20"/>
                <w:szCs w:val="20"/>
                <w:color w:val="auto"/>
              </w:rPr>
            </w:pPr>
            <w:r>
              <w:rPr>
                <w:rFonts w:ascii="Arial" w:cs="Arial" w:eastAsia="Arial" w:hAnsi="Arial"/>
                <w:sz w:val="17"/>
                <w:szCs w:val="17"/>
                <w:color w:val="auto"/>
              </w:rPr>
              <w:t>1.1</w:t>
            </w:r>
          </w:p>
        </w:tc>
        <w:tc>
          <w:tcPr>
            <w:tcW w:w="100" w:type="dxa"/>
            <w:vAlign w:val="bottom"/>
          </w:tcPr>
          <w:p>
            <w:pPr>
              <w:spacing w:after="0"/>
              <w:rPr>
                <w:sz w:val="16"/>
                <w:szCs w:val="16"/>
                <w:color w:val="auto"/>
              </w:rPr>
            </w:pPr>
          </w:p>
        </w:tc>
        <w:tc>
          <w:tcPr>
            <w:tcW w:w="1360" w:type="dxa"/>
            <w:vAlign w:val="bottom"/>
          </w:tcPr>
          <w:p>
            <w:pPr>
              <w:spacing w:after="0" w:line="185" w:lineRule="exact"/>
              <w:rPr>
                <w:sz w:val="20"/>
                <w:szCs w:val="20"/>
                <w:color w:val="auto"/>
              </w:rPr>
            </w:pPr>
            <w:r>
              <w:rPr>
                <w:rFonts w:ascii="Arial" w:cs="Arial" w:eastAsia="Arial" w:hAnsi="Arial"/>
                <w:sz w:val="17"/>
                <w:szCs w:val="17"/>
                <w:color w:val="auto"/>
              </w:rPr>
              <w:t>March 9, 2023</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spacing w:after="0" w:line="194" w:lineRule="exact"/>
              <w:rPr>
                <w:sz w:val="20"/>
                <w:szCs w:val="20"/>
                <w:color w:val="auto"/>
              </w:rPr>
            </w:pPr>
            <w:r>
              <w:rPr>
                <w:rFonts w:ascii="Arial" w:cs="Arial" w:eastAsia="Arial" w:hAnsi="Arial"/>
                <w:sz w:val="17"/>
                <w:szCs w:val="17"/>
                <w:color w:val="auto"/>
              </w:rPr>
              <w:t>F-1/A</w:t>
            </w:r>
          </w:p>
        </w:tc>
        <w:tc>
          <w:tcPr>
            <w:tcW w:w="1460" w:type="dxa"/>
            <w:vAlign w:val="bottom"/>
            <w:gridSpan w:val="2"/>
            <w:vMerge w:val="restart"/>
          </w:tcPr>
          <w:p>
            <w:pPr>
              <w:ind w:left="120"/>
              <w:spacing w:after="0" w:line="194" w:lineRule="exact"/>
              <w:rPr>
                <w:sz w:val="20"/>
                <w:szCs w:val="20"/>
                <w:color w:val="auto"/>
              </w:rPr>
            </w:pPr>
            <w:r>
              <w:rPr>
                <w:rFonts w:ascii="Arial" w:cs="Arial" w:eastAsia="Arial" w:hAnsi="Arial"/>
                <w:sz w:val="17"/>
                <w:szCs w:val="17"/>
                <w:color w:val="auto"/>
              </w:rPr>
              <w:t>333-256796</w:t>
            </w:r>
          </w:p>
        </w:tc>
        <w:tc>
          <w:tcPr>
            <w:tcW w:w="1460" w:type="dxa"/>
            <w:vAlign w:val="bottom"/>
            <w:gridSpan w:val="2"/>
            <w:vMerge w:val="restart"/>
          </w:tcPr>
          <w:p>
            <w:pPr>
              <w:ind w:left="100"/>
              <w:spacing w:after="0" w:line="194" w:lineRule="exact"/>
              <w:rPr>
                <w:sz w:val="20"/>
                <w:szCs w:val="20"/>
                <w:color w:val="auto"/>
              </w:rPr>
            </w:pPr>
            <w:r>
              <w:rPr>
                <w:rFonts w:ascii="Arial" w:cs="Arial" w:eastAsia="Arial" w:hAnsi="Arial"/>
                <w:sz w:val="17"/>
                <w:szCs w:val="17"/>
                <w:color w:val="auto"/>
              </w:rPr>
              <w:t>10.1</w:t>
            </w:r>
          </w:p>
        </w:tc>
        <w:tc>
          <w:tcPr>
            <w:tcW w:w="100" w:type="dxa"/>
            <w:vAlign w:val="bottom"/>
          </w:tcPr>
          <w:p>
            <w:pPr>
              <w:spacing w:after="0" w:line="20" w:lineRule="exact"/>
              <w:rPr>
                <w:sz w:val="1"/>
                <w:szCs w:val="1"/>
                <w:color w:val="auto"/>
              </w:rPr>
            </w:pPr>
          </w:p>
        </w:tc>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auto"/>
              </w:rPr>
              <w:t>June 21, 2021</w:t>
            </w:r>
          </w:p>
        </w:tc>
        <w:tc>
          <w:tcPr>
            <w:tcW w:w="0" w:type="dxa"/>
            <w:vAlign w:val="bottom"/>
          </w:tcPr>
          <w:p>
            <w:pPr>
              <w:spacing w:after="0" w:line="20" w:lineRule="exact"/>
              <w:rPr>
                <w:sz w:val="1"/>
                <w:szCs w:val="1"/>
                <w:color w:val="auto"/>
              </w:rPr>
            </w:pPr>
          </w:p>
        </w:tc>
      </w:tr>
      <w:tr>
        <w:trPr>
          <w:trHeight w:val="173"/>
        </w:trPr>
        <w:tc>
          <w:tcPr>
            <w:tcW w:w="60" w:type="dxa"/>
            <w:vAlign w:val="bottom"/>
            <w:vMerge w:val="continue"/>
          </w:tcPr>
          <w:p>
            <w:pPr>
              <w:spacing w:after="0"/>
              <w:rPr>
                <w:sz w:val="15"/>
                <w:szCs w:val="15"/>
                <w:color w:val="auto"/>
              </w:rPr>
            </w:pPr>
          </w:p>
        </w:tc>
        <w:tc>
          <w:tcPr>
            <w:tcW w:w="240" w:type="dxa"/>
            <w:vAlign w:val="bottom"/>
            <w:tcBorders>
              <w:bottom w:val="single" w:sz="8" w:color="0000EE"/>
            </w:tcBorders>
          </w:tcPr>
          <w:p>
            <w:pPr>
              <w:spacing w:after="0" w:line="173" w:lineRule="exact"/>
              <w:rPr>
                <w:rFonts w:ascii="Arial" w:cs="Arial" w:eastAsia="Arial" w:hAnsi="Arial"/>
                <w:sz w:val="17"/>
                <w:szCs w:val="17"/>
                <w:color w:val="0000EE"/>
                <w:w w:val="84"/>
              </w:rPr>
            </w:pPr>
            <w:hyperlink r:id="rId83">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920" w:type="dxa"/>
            <w:vAlign w:val="bottom"/>
            <w:tcBorders>
              <w:bottom w:val="single" w:sz="8" w:color="0000EE"/>
            </w:tcBorders>
            <w:gridSpan w:val="16"/>
          </w:tcPr>
          <w:p>
            <w:pPr>
              <w:spacing w:after="0" w:line="173" w:lineRule="exact"/>
              <w:rPr>
                <w:rFonts w:ascii="Arial" w:cs="Arial" w:eastAsia="Arial" w:hAnsi="Arial"/>
                <w:sz w:val="17"/>
                <w:szCs w:val="17"/>
                <w:color w:val="0000EE"/>
              </w:rPr>
            </w:pPr>
            <w:hyperlink r:id="rId83">
              <w:r>
                <w:rPr>
                  <w:rFonts w:ascii="Arial" w:cs="Arial" w:eastAsia="Arial" w:hAnsi="Arial"/>
                  <w:sz w:val="17"/>
                  <w:szCs w:val="17"/>
                  <w:color w:val="0000EE"/>
                </w:rPr>
                <w:t>Form of Registration Rights Agreement between GH Research</w:t>
              </w:r>
            </w:hyperlink>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0" w:type="dxa"/>
            <w:vAlign w:val="bottom"/>
            <w:gridSpan w:val="2"/>
            <w:vMerge w:val="restart"/>
          </w:tcPr>
          <w:p>
            <w:pPr>
              <w:ind w:left="60"/>
              <w:spacing w:after="0"/>
              <w:rPr>
                <w:sz w:val="20"/>
                <w:szCs w:val="20"/>
                <w:color w:val="auto"/>
              </w:rPr>
            </w:pPr>
            <w:r>
              <w:rPr>
                <w:rFonts w:ascii="Arial" w:cs="Arial" w:eastAsia="Arial" w:hAnsi="Arial"/>
                <w:sz w:val="17"/>
                <w:szCs w:val="17"/>
                <w:color w:val="0000EE"/>
                <w:w w:val="84"/>
              </w:rPr>
              <w:t>4.</w:t>
            </w:r>
            <w:r>
              <w:rPr>
                <w:rFonts w:ascii="Arial" w:cs="Arial" w:eastAsia="Arial" w:hAnsi="Arial"/>
                <w:sz w:val="17"/>
                <w:szCs w:val="17"/>
                <w:u w:val="single" w:color="auto"/>
                <w:color w:val="0000EE"/>
                <w:w w:val="84"/>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16"/>
          </w:tcPr>
          <w:p>
            <w:pPr>
              <w:spacing w:after="0" w:line="173" w:lineRule="exact"/>
              <w:rPr>
                <w:rFonts w:ascii="Arial" w:cs="Arial" w:eastAsia="Arial" w:hAnsi="Arial"/>
                <w:sz w:val="17"/>
                <w:szCs w:val="17"/>
                <w:color w:val="0000EE"/>
              </w:rPr>
            </w:pPr>
            <w:hyperlink r:id="rId83">
              <w:r>
                <w:rPr>
                  <w:rFonts w:ascii="Arial" w:cs="Arial" w:eastAsia="Arial" w:hAnsi="Arial"/>
                  <w:sz w:val="17"/>
                  <w:szCs w:val="17"/>
                  <w:color w:val="0000EE"/>
                </w:rPr>
                <w:t>PLC and the shareholders listed therein</w:t>
              </w:r>
            </w:hyperlink>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Borders>
              <w:top w:val="single" w:sz="8" w:color="0000EE"/>
            </w:tcBorders>
            <w:gridSpan w:val="10"/>
          </w:tcPr>
          <w:p>
            <w:pPr>
              <w:spacing w:after="0" w:line="173" w:lineRule="exact"/>
              <w:rPr>
                <w:sz w:val="20"/>
                <w:szCs w:val="20"/>
                <w:color w:val="auto"/>
              </w:rPr>
            </w:pPr>
            <w:r>
              <w:rPr>
                <w:rFonts w:ascii="Arial" w:cs="Arial" w:eastAsia="Arial" w:hAnsi="Arial"/>
                <w:sz w:val="17"/>
                <w:szCs w:val="17"/>
                <w:color w:val="0000EE"/>
              </w:rPr>
              <w:t>Form of Indenture</w:t>
            </w: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40" w:type="dxa"/>
            <w:vAlign w:val="bottom"/>
            <w:gridSpan w:val="3"/>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vMerge w:val="continue"/>
          </w:tcPr>
          <w:p>
            <w:pPr>
              <w:spacing w:after="0"/>
              <w:rPr>
                <w:sz w:val="15"/>
                <w:szCs w:val="15"/>
                <w:color w:val="auto"/>
              </w:rPr>
            </w:pPr>
          </w:p>
        </w:tc>
        <w:tc>
          <w:tcPr>
            <w:tcW w:w="320" w:type="dxa"/>
            <w:vAlign w:val="bottom"/>
            <w:gridSpan w:val="2"/>
          </w:tcPr>
          <w:p>
            <w:pPr>
              <w:spacing w:after="0" w:line="182" w:lineRule="exact"/>
              <w:rPr>
                <w:sz w:val="20"/>
                <w:szCs w:val="20"/>
                <w:color w:val="auto"/>
              </w:rPr>
            </w:pPr>
            <w:r>
              <w:rPr>
                <w:rFonts w:ascii="Arial" w:cs="Arial" w:eastAsia="Arial" w:hAnsi="Arial"/>
                <w:sz w:val="17"/>
                <w:szCs w:val="17"/>
                <w:color w:val="auto"/>
                <w:w w:val="99"/>
              </w:rPr>
              <w:t>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340" w:type="dxa"/>
            <w:vAlign w:val="bottom"/>
            <w:gridSpan w:val="3"/>
          </w:tcPr>
          <w:p>
            <w:pPr>
              <w:spacing w:after="0" w:line="182" w:lineRule="exact"/>
              <w:rPr>
                <w:sz w:val="20"/>
                <w:szCs w:val="20"/>
                <w:color w:val="auto"/>
              </w:rPr>
            </w:pPr>
            <w:r>
              <w:rPr>
                <w:rFonts w:ascii="Arial" w:cs="Arial" w:eastAsia="Arial" w:hAnsi="Arial"/>
                <w:sz w:val="17"/>
                <w:szCs w:val="17"/>
                <w:color w:val="auto"/>
              </w:rPr>
              <w:t>Form of Note</w:t>
            </w:r>
          </w:p>
        </w:tc>
        <w:tc>
          <w:tcPr>
            <w:tcW w:w="3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0" w:type="dxa"/>
            <w:vAlign w:val="bottom"/>
            <w:gridSpan w:val="3"/>
          </w:tcPr>
          <w:p>
            <w:pPr>
              <w:ind w:left="60"/>
              <w:spacing w:after="0" w:line="194" w:lineRule="exact"/>
              <w:rPr>
                <w:sz w:val="20"/>
                <w:szCs w:val="20"/>
                <w:color w:val="auto"/>
              </w:rPr>
            </w:pPr>
            <w:r>
              <w:rPr>
                <w:rFonts w:ascii="Arial" w:cs="Arial" w:eastAsia="Arial" w:hAnsi="Arial"/>
                <w:sz w:val="17"/>
                <w:szCs w:val="17"/>
                <w:color w:val="auto"/>
                <w:w w:val="99"/>
              </w:rPr>
              <w:t>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18"/>
          </w:tcPr>
          <w:p>
            <w:pPr>
              <w:spacing w:after="0" w:line="194" w:lineRule="exact"/>
              <w:rPr>
                <w:sz w:val="20"/>
                <w:szCs w:val="20"/>
                <w:color w:val="auto"/>
              </w:rPr>
            </w:pPr>
            <w:r>
              <w:rPr>
                <w:rFonts w:ascii="Arial" w:cs="Arial" w:eastAsia="Arial" w:hAnsi="Arial"/>
                <w:sz w:val="17"/>
                <w:szCs w:val="17"/>
                <w:color w:val="auto"/>
              </w:rPr>
              <w:t>Form of Warrant Agreement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0" w:type="dxa"/>
            <w:vAlign w:val="bottom"/>
            <w:gridSpan w:val="3"/>
          </w:tcPr>
          <w:p>
            <w:pPr>
              <w:ind w:left="60"/>
              <w:spacing w:after="0" w:line="194" w:lineRule="exact"/>
              <w:rPr>
                <w:sz w:val="20"/>
                <w:szCs w:val="20"/>
                <w:color w:val="auto"/>
              </w:rPr>
            </w:pPr>
            <w:r>
              <w:rPr>
                <w:rFonts w:ascii="Arial" w:cs="Arial" w:eastAsia="Arial" w:hAnsi="Arial"/>
                <w:sz w:val="17"/>
                <w:szCs w:val="17"/>
                <w:color w:val="auto"/>
                <w:w w:val="99"/>
              </w:rPr>
              <w:t>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18"/>
          </w:tcPr>
          <w:p>
            <w:pPr>
              <w:spacing w:after="0" w:line="194" w:lineRule="exact"/>
              <w:rPr>
                <w:sz w:val="20"/>
                <w:szCs w:val="20"/>
                <w:color w:val="auto"/>
              </w:rPr>
            </w:pPr>
            <w:r>
              <w:rPr>
                <w:rFonts w:ascii="Arial" w:cs="Arial" w:eastAsia="Arial" w:hAnsi="Arial"/>
                <w:sz w:val="17"/>
                <w:szCs w:val="17"/>
                <w:color w:val="auto"/>
              </w:rPr>
              <w:t>Form of Unit Agreement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0" w:type="dxa"/>
            <w:vAlign w:val="bottom"/>
            <w:gridSpan w:val="3"/>
          </w:tcPr>
          <w:p>
            <w:pPr>
              <w:ind w:left="60"/>
              <w:spacing w:after="0" w:line="194" w:lineRule="exact"/>
              <w:rPr>
                <w:sz w:val="20"/>
                <w:szCs w:val="20"/>
                <w:color w:val="auto"/>
              </w:rPr>
            </w:pPr>
            <w:r>
              <w:rPr>
                <w:rFonts w:ascii="Arial" w:cs="Arial" w:eastAsia="Arial" w:hAnsi="Arial"/>
                <w:sz w:val="17"/>
                <w:szCs w:val="17"/>
                <w:color w:val="auto"/>
                <w:w w:val="99"/>
              </w:rPr>
              <w:t>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18"/>
          </w:tcPr>
          <w:p>
            <w:pPr>
              <w:spacing w:after="0" w:line="194" w:lineRule="exact"/>
              <w:rPr>
                <w:sz w:val="20"/>
                <w:szCs w:val="20"/>
                <w:color w:val="auto"/>
              </w:rPr>
            </w:pPr>
            <w:r>
              <w:rPr>
                <w:rFonts w:ascii="Arial" w:cs="Arial" w:eastAsia="Arial" w:hAnsi="Arial"/>
                <w:sz w:val="17"/>
                <w:szCs w:val="17"/>
                <w:color w:val="auto"/>
              </w:rPr>
              <w:t>Form of Subscription Rights Agreement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0" w:type="dxa"/>
            <w:vAlign w:val="bottom"/>
            <w:gridSpan w:val="2"/>
          </w:tcPr>
          <w:p>
            <w:pPr>
              <w:ind w:left="60"/>
              <w:spacing w:after="0" w:line="185" w:lineRule="exact"/>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18"/>
          </w:tcPr>
          <w:p>
            <w:pPr>
              <w:spacing w:after="0" w:line="185" w:lineRule="exact"/>
              <w:rPr>
                <w:sz w:val="20"/>
                <w:szCs w:val="20"/>
                <w:color w:val="auto"/>
              </w:rPr>
            </w:pPr>
            <w:r>
              <w:rPr>
                <w:rFonts w:ascii="Arial" w:cs="Arial" w:eastAsia="Arial" w:hAnsi="Arial"/>
                <w:sz w:val="17"/>
                <w:szCs w:val="17"/>
                <w:color w:val="0000EE"/>
              </w:rPr>
              <w:t>Opinion of A&amp;L Goodbody LLP, Irish counsel of GH Research</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0" w:type="dxa"/>
            <w:vAlign w:val="bottom"/>
            <w:gridSpan w:val="2"/>
            <w:vMerge w:val="restart"/>
          </w:tcPr>
          <w:p>
            <w:pPr>
              <w:ind w:left="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320" w:type="dxa"/>
            <w:vAlign w:val="bottom"/>
            <w:tcBorders>
              <w:bottom w:val="single" w:sz="8" w:color="0000EE"/>
            </w:tcBorders>
          </w:tcPr>
          <w:p>
            <w:pPr>
              <w:spacing w:after="0" w:line="173" w:lineRule="exact"/>
              <w:rPr>
                <w:sz w:val="20"/>
                <w:szCs w:val="20"/>
                <w:color w:val="auto"/>
              </w:rPr>
            </w:pPr>
            <w:r>
              <w:rPr>
                <w:rFonts w:ascii="Arial" w:cs="Arial" w:eastAsia="Arial" w:hAnsi="Arial"/>
                <w:sz w:val="17"/>
                <w:szCs w:val="17"/>
                <w:color w:val="0000EE"/>
                <w:w w:val="90"/>
              </w:rPr>
              <w:t>PLC</w:t>
            </w:r>
          </w:p>
        </w:tc>
        <w:tc>
          <w:tcPr>
            <w:tcW w:w="4500" w:type="dxa"/>
            <w:vAlign w:val="bottom"/>
            <w:gridSpan w:val="11"/>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gridSpan w:val="18"/>
          </w:tcPr>
          <w:p>
            <w:pPr>
              <w:spacing w:after="0" w:line="173" w:lineRule="exact"/>
              <w:rPr>
                <w:sz w:val="20"/>
                <w:szCs w:val="20"/>
                <w:color w:val="auto"/>
              </w:rPr>
            </w:pPr>
            <w:r>
              <w:rPr>
                <w:rFonts w:ascii="Arial" w:cs="Arial" w:eastAsia="Arial" w:hAnsi="Arial"/>
                <w:sz w:val="17"/>
                <w:szCs w:val="17"/>
                <w:color w:val="0000EE"/>
              </w:rPr>
              <w:t>Opinion of Davis Polk &amp; Wardwell LLP, U.S. counsel of GH</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 w:type="dxa"/>
            <w:vAlign w:val="bottom"/>
            <w:gridSpan w:val="4"/>
            <w:vMerge w:val="restart"/>
          </w:tcPr>
          <w:p>
            <w:pPr>
              <w:ind w:left="60"/>
              <w:spacing w:after="0"/>
              <w:rPr>
                <w:sz w:val="20"/>
                <w:szCs w:val="20"/>
                <w:color w:val="auto"/>
              </w:rPr>
            </w:pPr>
            <w:r>
              <w:rPr>
                <w:rFonts w:ascii="Arial" w:cs="Arial" w:eastAsia="Arial" w:hAnsi="Arial"/>
                <w:sz w:val="17"/>
                <w:szCs w:val="17"/>
                <w:color w:val="0000EE"/>
                <w:w w:val="96"/>
              </w:rPr>
              <w:t>23.</w:t>
            </w:r>
            <w:r>
              <w:rPr>
                <w:rFonts w:ascii="Arial" w:cs="Arial" w:eastAsia="Arial" w:hAnsi="Arial"/>
                <w:sz w:val="17"/>
                <w:szCs w:val="17"/>
                <w:u w:val="single" w:color="auto"/>
                <w:color w:val="0000EE"/>
                <w:w w:val="96"/>
              </w:rPr>
              <w:t>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860" w:type="dxa"/>
            <w:vAlign w:val="bottom"/>
            <w:gridSpan w:val="14"/>
          </w:tcPr>
          <w:p>
            <w:pPr>
              <w:spacing w:after="0" w:line="173" w:lineRule="exact"/>
              <w:rPr>
                <w:sz w:val="20"/>
                <w:szCs w:val="20"/>
                <w:color w:val="auto"/>
              </w:rPr>
            </w:pPr>
            <w:r>
              <w:rPr>
                <w:rFonts w:ascii="Arial" w:cs="Arial" w:eastAsia="Arial" w:hAnsi="Arial"/>
                <w:sz w:val="17"/>
                <w:szCs w:val="17"/>
                <w:color w:val="0000EE"/>
              </w:rPr>
              <w:t>Research PLC</w:t>
            </w:r>
          </w:p>
        </w:tc>
        <w:tc>
          <w:tcPr>
            <w:tcW w:w="4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0000EE"/>
            </w:tcBorders>
            <w:gridSpan w:val="3"/>
          </w:tcPr>
          <w:p>
            <w:pPr>
              <w:spacing w:after="0" w:line="173" w:lineRule="exact"/>
              <w:rPr>
                <w:sz w:val="20"/>
                <w:szCs w:val="20"/>
                <w:color w:val="auto"/>
              </w:rPr>
            </w:pPr>
            <w:r>
              <w:rPr>
                <w:rFonts w:ascii="Arial" w:cs="Arial" w:eastAsia="Arial" w:hAnsi="Arial"/>
                <w:sz w:val="17"/>
                <w:szCs w:val="17"/>
                <w:color w:val="0000EE"/>
              </w:rPr>
              <w:t>Consent of</w:t>
            </w:r>
          </w:p>
        </w:tc>
        <w:tc>
          <w:tcPr>
            <w:tcW w:w="3840" w:type="dxa"/>
            <w:vAlign w:val="bottom"/>
            <w:gridSpan w:val="15"/>
          </w:tcPr>
          <w:p>
            <w:pPr>
              <w:jc w:val="right"/>
              <w:ind w:right="100"/>
              <w:spacing w:after="0" w:line="173" w:lineRule="exact"/>
              <w:rPr>
                <w:sz w:val="20"/>
                <w:szCs w:val="20"/>
                <w:color w:val="auto"/>
              </w:rPr>
            </w:pPr>
            <w:r>
              <w:rPr>
                <w:rFonts w:ascii="Arial" w:cs="Arial" w:eastAsia="Arial" w:hAnsi="Arial"/>
                <w:sz w:val="17"/>
                <w:szCs w:val="17"/>
                <w:color w:val="0000EE"/>
                <w:w w:val="99"/>
              </w:rPr>
              <w:t>PricewaterhouseCoopers, independent registered</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 w:type="dxa"/>
            <w:vAlign w:val="bottom"/>
            <w:gridSpan w:val="4"/>
            <w:vMerge w:val="restart"/>
          </w:tcPr>
          <w:p>
            <w:pPr>
              <w:ind w:left="60"/>
              <w:spacing w:after="0"/>
              <w:rPr>
                <w:sz w:val="20"/>
                <w:szCs w:val="20"/>
                <w:color w:val="auto"/>
              </w:rPr>
            </w:pPr>
            <w:r>
              <w:rPr>
                <w:rFonts w:ascii="Arial" w:cs="Arial" w:eastAsia="Arial" w:hAnsi="Arial"/>
                <w:sz w:val="17"/>
                <w:szCs w:val="17"/>
                <w:color w:val="0000EE"/>
                <w:w w:val="96"/>
              </w:rPr>
              <w:t>23.</w:t>
            </w:r>
            <w:r>
              <w:rPr>
                <w:rFonts w:ascii="Arial" w:cs="Arial" w:eastAsia="Arial" w:hAnsi="Arial"/>
                <w:sz w:val="17"/>
                <w:szCs w:val="17"/>
                <w:u w:val="single" w:color="auto"/>
                <w:color w:val="0000EE"/>
                <w:w w:val="96"/>
              </w:rPr>
              <w:t>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900" w:type="dxa"/>
            <w:vAlign w:val="bottom"/>
            <w:gridSpan w:val="15"/>
          </w:tcPr>
          <w:p>
            <w:pPr>
              <w:spacing w:after="0" w:line="173" w:lineRule="exact"/>
              <w:rPr>
                <w:sz w:val="20"/>
                <w:szCs w:val="20"/>
                <w:color w:val="auto"/>
              </w:rPr>
            </w:pPr>
            <w:r>
              <w:rPr>
                <w:rFonts w:ascii="Arial" w:cs="Arial" w:eastAsia="Arial" w:hAnsi="Arial"/>
                <w:sz w:val="17"/>
                <w:szCs w:val="17"/>
                <w:color w:val="0000EE"/>
              </w:rPr>
              <w:t>public accounting firm</w:t>
            </w:r>
          </w:p>
        </w:tc>
        <w:tc>
          <w:tcPr>
            <w:tcW w:w="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0000EE"/>
            </w:tcBorders>
            <w:gridSpan w:val="5"/>
          </w:tcPr>
          <w:p>
            <w:pPr>
              <w:spacing w:after="0" w:line="173" w:lineRule="exact"/>
              <w:rPr>
                <w:sz w:val="20"/>
                <w:szCs w:val="20"/>
                <w:color w:val="auto"/>
              </w:rPr>
            </w:pPr>
            <w:r>
              <w:rPr>
                <w:rFonts w:ascii="Arial" w:cs="Arial" w:eastAsia="Arial" w:hAnsi="Arial"/>
                <w:sz w:val="17"/>
                <w:szCs w:val="17"/>
                <w:color w:val="0000EE"/>
              </w:rPr>
              <w:t>Consent   of</w:t>
            </w:r>
          </w:p>
        </w:tc>
        <w:tc>
          <w:tcPr>
            <w:tcW w:w="3300" w:type="dxa"/>
            <w:vAlign w:val="bottom"/>
            <w:gridSpan w:val="13"/>
          </w:tcPr>
          <w:p>
            <w:pPr>
              <w:jc w:val="right"/>
              <w:ind w:right="120"/>
              <w:spacing w:after="0" w:line="173" w:lineRule="exact"/>
              <w:rPr>
                <w:sz w:val="20"/>
                <w:szCs w:val="20"/>
                <w:color w:val="auto"/>
              </w:rPr>
            </w:pPr>
            <w:r>
              <w:rPr>
                <w:rFonts w:ascii="Arial" w:cs="Arial" w:eastAsia="Arial" w:hAnsi="Arial"/>
                <w:sz w:val="17"/>
                <w:szCs w:val="17"/>
                <w:color w:val="0000EE"/>
                <w:w w:val="92"/>
              </w:rPr>
              <w:t>PricewaterhouseCoopers   SA,   independent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 w:type="dxa"/>
            <w:vAlign w:val="bottom"/>
            <w:gridSpan w:val="4"/>
            <w:vMerge w:val="restart"/>
          </w:tcPr>
          <w:p>
            <w:pPr>
              <w:ind w:left="60"/>
              <w:spacing w:after="0"/>
              <w:rPr>
                <w:sz w:val="20"/>
                <w:szCs w:val="20"/>
                <w:color w:val="auto"/>
              </w:rPr>
            </w:pPr>
            <w:r>
              <w:rPr>
                <w:rFonts w:ascii="Arial" w:cs="Arial" w:eastAsia="Arial" w:hAnsi="Arial"/>
                <w:sz w:val="17"/>
                <w:szCs w:val="17"/>
                <w:color w:val="0000EE"/>
                <w:w w:val="96"/>
              </w:rPr>
              <w:t>23.</w:t>
            </w:r>
            <w:r>
              <w:rPr>
                <w:rFonts w:ascii="Arial" w:cs="Arial" w:eastAsia="Arial" w:hAnsi="Arial"/>
                <w:sz w:val="17"/>
                <w:szCs w:val="17"/>
                <w:u w:val="single" w:color="auto"/>
                <w:color w:val="0000EE"/>
                <w:w w:val="96"/>
              </w:rPr>
              <w:t>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840" w:type="dxa"/>
            <w:vAlign w:val="bottom"/>
            <w:gridSpan w:val="13"/>
          </w:tcPr>
          <w:p>
            <w:pPr>
              <w:spacing w:after="0" w:line="173" w:lineRule="exact"/>
              <w:rPr>
                <w:sz w:val="20"/>
                <w:szCs w:val="20"/>
                <w:color w:val="auto"/>
              </w:rPr>
            </w:pPr>
            <w:r>
              <w:rPr>
                <w:rFonts w:ascii="Arial" w:cs="Arial" w:eastAsia="Arial" w:hAnsi="Arial"/>
                <w:sz w:val="17"/>
                <w:szCs w:val="17"/>
                <w:color w:val="0000EE"/>
              </w:rPr>
              <w:t>registered public accounting firm</w:t>
            </w:r>
          </w:p>
        </w:tc>
        <w:tc>
          <w:tcPr>
            <w:tcW w:w="6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0000EE"/>
            </w:tcBorders>
            <w:gridSpan w:val="8"/>
          </w:tcPr>
          <w:p>
            <w:pPr>
              <w:spacing w:after="0" w:line="173" w:lineRule="exact"/>
              <w:rPr>
                <w:sz w:val="20"/>
                <w:szCs w:val="20"/>
                <w:color w:val="auto"/>
              </w:rPr>
            </w:pPr>
            <w:r>
              <w:rPr>
                <w:rFonts w:ascii="Arial" w:cs="Arial" w:eastAsia="Arial" w:hAnsi="Arial"/>
                <w:sz w:val="17"/>
                <w:szCs w:val="17"/>
                <w:color w:val="0000EE"/>
              </w:rPr>
              <w:t>Consent of A&amp;L Goodbody LLP</w:t>
            </w:r>
          </w:p>
        </w:tc>
        <w:tc>
          <w:tcPr>
            <w:tcW w:w="2480" w:type="dxa"/>
            <w:vAlign w:val="bottom"/>
            <w:gridSpan w:val="10"/>
          </w:tcPr>
          <w:p>
            <w:pPr>
              <w:spacing w:after="0" w:line="173" w:lineRule="exact"/>
              <w:rPr>
                <w:sz w:val="20"/>
                <w:szCs w:val="20"/>
                <w:color w:val="auto"/>
              </w:rPr>
            </w:pPr>
            <w:r>
              <w:rPr>
                <w:rFonts w:ascii="Arial" w:cs="Arial" w:eastAsia="Arial" w:hAnsi="Arial"/>
                <w:sz w:val="17"/>
                <w:szCs w:val="17"/>
                <w:color w:val="0000EE"/>
              </w:rPr>
              <w:t>(included in exhibit 5.1)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vMerge w:val="continue"/>
          </w:tcPr>
          <w:p>
            <w:pPr>
              <w:spacing w:after="0"/>
              <w:rPr>
                <w:sz w:val="15"/>
                <w:szCs w:val="15"/>
                <w:color w:val="auto"/>
              </w:rPr>
            </w:pPr>
          </w:p>
        </w:tc>
        <w:tc>
          <w:tcPr>
            <w:tcW w:w="320" w:type="dxa"/>
            <w:vAlign w:val="bottom"/>
            <w:gridSpan w:val="2"/>
          </w:tcPr>
          <w:p>
            <w:pPr>
              <w:spacing w:after="0" w:line="173" w:lineRule="exact"/>
              <w:rPr>
                <w:sz w:val="20"/>
                <w:szCs w:val="20"/>
                <w:color w:val="auto"/>
              </w:rPr>
            </w:pPr>
            <w:r>
              <w:rPr>
                <w:rFonts w:ascii="Arial" w:cs="Arial" w:eastAsia="Arial" w:hAnsi="Arial"/>
                <w:sz w:val="17"/>
                <w:szCs w:val="17"/>
                <w:color w:val="0000EE"/>
                <w:w w:val="90"/>
              </w:rPr>
              <w:t>23.</w:t>
            </w:r>
            <w:r>
              <w:rPr>
                <w:rFonts w:ascii="Arial" w:cs="Arial" w:eastAsia="Arial" w:hAnsi="Arial"/>
                <w:sz w:val="17"/>
                <w:szCs w:val="17"/>
                <w:u w:val="single" w:color="auto"/>
                <w:color w:val="0000EE"/>
                <w:w w:val="90"/>
              </w:rPr>
              <w:t>4</w:t>
            </w: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940" w:type="dxa"/>
            <w:vAlign w:val="bottom"/>
            <w:gridSpan w:val="17"/>
          </w:tcPr>
          <w:p>
            <w:pPr>
              <w:spacing w:after="0" w:line="173" w:lineRule="exact"/>
              <w:rPr>
                <w:sz w:val="20"/>
                <w:szCs w:val="20"/>
                <w:color w:val="auto"/>
              </w:rPr>
            </w:pPr>
            <w:r>
              <w:rPr>
                <w:rFonts w:ascii="Arial" w:cs="Arial" w:eastAsia="Arial" w:hAnsi="Arial"/>
                <w:sz w:val="17"/>
                <w:szCs w:val="17"/>
                <w:color w:val="0000EE"/>
              </w:rPr>
              <w:t>Consent of Davis Polk &amp; Wardwell LLP (included in exhibit 5.2)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vMerge w:val="continue"/>
          </w:tcPr>
          <w:p>
            <w:pPr>
              <w:spacing w:after="0"/>
              <w:rPr>
                <w:sz w:val="15"/>
                <w:szCs w:val="15"/>
                <w:color w:val="auto"/>
              </w:rPr>
            </w:pPr>
          </w:p>
        </w:tc>
        <w:tc>
          <w:tcPr>
            <w:tcW w:w="320" w:type="dxa"/>
            <w:vAlign w:val="bottom"/>
            <w:tcBorders>
              <w:bottom w:val="single" w:sz="8" w:color="0000EE"/>
            </w:tcBorders>
            <w:gridSpan w:val="2"/>
          </w:tcPr>
          <w:p>
            <w:pPr>
              <w:spacing w:after="0" w:line="173" w:lineRule="exact"/>
              <w:rPr>
                <w:sz w:val="20"/>
                <w:szCs w:val="20"/>
                <w:color w:val="auto"/>
              </w:rPr>
            </w:pPr>
            <w:r>
              <w:rPr>
                <w:rFonts w:ascii="Arial" w:cs="Arial" w:eastAsia="Arial" w:hAnsi="Arial"/>
                <w:sz w:val="17"/>
                <w:szCs w:val="17"/>
                <w:color w:val="0000EE"/>
                <w:w w:val="90"/>
              </w:rPr>
              <w:t>24.</w:t>
            </w:r>
            <w:r>
              <w:rPr>
                <w:rFonts w:ascii="Arial" w:cs="Arial" w:eastAsia="Arial" w:hAnsi="Arial"/>
                <w:sz w:val="17"/>
                <w:szCs w:val="17"/>
                <w:u w:val="single" w:color="auto"/>
                <w:color w:val="0000EE"/>
                <w:w w:val="90"/>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900" w:type="dxa"/>
            <w:vAlign w:val="bottom"/>
            <w:tcBorders>
              <w:bottom w:val="single" w:sz="8" w:color="0000EE"/>
            </w:tcBorders>
            <w:gridSpan w:val="15"/>
          </w:tcPr>
          <w:p>
            <w:pPr>
              <w:spacing w:after="0" w:line="173" w:lineRule="exact"/>
              <w:rPr>
                <w:sz w:val="20"/>
                <w:szCs w:val="20"/>
                <w:color w:val="auto"/>
              </w:rPr>
            </w:pPr>
            <w:r>
              <w:rPr>
                <w:rFonts w:ascii="Arial" w:cs="Arial" w:eastAsia="Arial" w:hAnsi="Arial"/>
                <w:sz w:val="17"/>
                <w:szCs w:val="17"/>
                <w:color w:val="0000EE"/>
              </w:rPr>
              <w:t>Powers  of  attorney  (included  on  signature  page  to  the</w:t>
            </w:r>
          </w:p>
        </w:tc>
        <w:tc>
          <w:tcPr>
            <w:tcW w:w="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60" w:type="dxa"/>
            <w:vAlign w:val="bottom"/>
            <w:gridSpan w:val="6"/>
            <w:vMerge w:val="restart"/>
          </w:tcPr>
          <w:p>
            <w:pPr>
              <w:ind w:left="60"/>
              <w:spacing w:after="0"/>
              <w:rPr>
                <w:sz w:val="20"/>
                <w:szCs w:val="20"/>
                <w:color w:val="auto"/>
              </w:rPr>
            </w:pPr>
            <w:r>
              <w:rPr>
                <w:rFonts w:ascii="Arial" w:cs="Arial" w:eastAsia="Arial" w:hAnsi="Arial"/>
                <w:sz w:val="17"/>
                <w:szCs w:val="17"/>
                <w:color w:val="auto"/>
              </w:rPr>
              <w:t>25.1**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15"/>
          </w:tcPr>
          <w:p>
            <w:pPr>
              <w:spacing w:after="0" w:line="173" w:lineRule="exact"/>
              <w:rPr>
                <w:sz w:val="20"/>
                <w:szCs w:val="20"/>
                <w:color w:val="auto"/>
              </w:rPr>
            </w:pPr>
            <w:r>
              <w:rPr>
                <w:rFonts w:ascii="Arial" w:cs="Arial" w:eastAsia="Arial" w:hAnsi="Arial"/>
                <w:sz w:val="17"/>
                <w:szCs w:val="17"/>
                <w:color w:val="0000EE"/>
              </w:rPr>
              <w:t>registration statement)</w:t>
            </w:r>
          </w:p>
        </w:tc>
        <w:tc>
          <w:tcPr>
            <w:tcW w:w="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7"/>
                <w:szCs w:val="17"/>
                <w:color w:val="auto"/>
              </w:rPr>
              <w:t>Statement of Eligibility</w:t>
            </w:r>
          </w:p>
        </w:tc>
        <w:tc>
          <w:tcPr>
            <w:tcW w:w="3240" w:type="dxa"/>
            <w:vAlign w:val="bottom"/>
            <w:gridSpan w:val="12"/>
          </w:tcPr>
          <w:p>
            <w:pPr>
              <w:ind w:left="20"/>
              <w:spacing w:after="0" w:line="182" w:lineRule="exact"/>
              <w:rPr>
                <w:sz w:val="20"/>
                <w:szCs w:val="20"/>
                <w:color w:val="auto"/>
              </w:rPr>
            </w:pPr>
            <w:r>
              <w:rPr>
                <w:rFonts w:ascii="Arial" w:cs="Arial" w:eastAsia="Arial" w:hAnsi="Arial"/>
                <w:sz w:val="17"/>
                <w:szCs w:val="17"/>
                <w:color w:val="auto"/>
              </w:rPr>
              <w:t>on Form T-1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0" w:type="dxa"/>
            <w:vAlign w:val="bottom"/>
            <w:gridSpan w:val="5"/>
          </w:tcPr>
          <w:p>
            <w:pPr>
              <w:ind w:left="60"/>
              <w:spacing w:after="0" w:line="185" w:lineRule="exact"/>
              <w:rPr>
                <w:sz w:val="20"/>
                <w:szCs w:val="20"/>
                <w:color w:val="auto"/>
              </w:rPr>
            </w:pPr>
            <w:r>
              <w:rPr>
                <w:rFonts w:ascii="Arial" w:cs="Arial" w:eastAsia="Arial" w:hAnsi="Arial"/>
                <w:sz w:val="17"/>
                <w:szCs w:val="17"/>
                <w:color w:val="0000EE"/>
                <w:w w:val="93"/>
              </w:rPr>
              <w:t>107.</w:t>
            </w:r>
            <w:r>
              <w:rPr>
                <w:rFonts w:ascii="Arial" w:cs="Arial" w:eastAsia="Arial" w:hAnsi="Arial"/>
                <w:sz w:val="17"/>
                <w:szCs w:val="17"/>
                <w:u w:val="single" w:color="auto"/>
                <w:color w:val="0000EE"/>
                <w:w w:val="93"/>
              </w:rPr>
              <w:t>1</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18"/>
          </w:tcPr>
          <w:p>
            <w:pPr>
              <w:spacing w:after="0" w:line="185" w:lineRule="exact"/>
              <w:rPr>
                <w:sz w:val="20"/>
                <w:szCs w:val="20"/>
                <w:color w:val="auto"/>
              </w:rPr>
            </w:pPr>
            <w:r>
              <w:rPr>
                <w:rFonts w:ascii="Arial" w:cs="Arial" w:eastAsia="Arial" w:hAnsi="Arial"/>
                <w:sz w:val="17"/>
                <w:szCs w:val="17"/>
                <w:color w:val="0000EE"/>
              </w:rPr>
              <w:t>Calculation of Filing Fee Table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20" w:hanging="317"/>
        <w:spacing w:after="0" w:line="273"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be filed by amendment or as an exhibit to a document to be incorporated by reference herein in connection with an offering of the offered securities.</w:t>
      </w:r>
    </w:p>
    <w:p>
      <w:pPr>
        <w:spacing w:after="0" w:line="135" w:lineRule="exact"/>
        <w:rPr>
          <w:sz w:val="20"/>
          <w:szCs w:val="20"/>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be filed in accordance with the requirements of Section 305(b)(2) of the Trust Indenture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344170</wp:posOffset>
            </wp:positionV>
            <wp:extent cx="7138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Pursuant to the requirements of the Securities Act of 1933, as amended, or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Dublin, Ireland, on the 9th day of March, 2023.</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GH RESEARCH PLC</w:t>
      </w:r>
    </w:p>
    <w:p>
      <w:pPr>
        <w:spacing w:after="0" w:line="19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/s/ Theis Terwey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9525</wp:posOffset>
            </wp:positionV>
            <wp:extent cx="33528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352800" cy="8255"/>
                    </a:xfrm>
                    <a:prstGeom prst="rect">
                      <a:avLst/>
                    </a:prstGeom>
                    <a:noFill/>
                  </pic:spPr>
                </pic:pic>
              </a:graphicData>
            </a:graphic>
          </wp:anchor>
        </w:drawing>
      </w:r>
    </w:p>
    <w:p>
      <w:pPr>
        <w:spacing w:after="0" w:line="7"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Theis Terwey</w:t>
      </w:r>
    </w:p>
    <w:p>
      <w:pPr>
        <w:spacing w:after="0" w:line="175"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Executive Officer</w:t>
      </w:r>
    </w:p>
    <w:p>
      <w:pPr>
        <w:spacing w:after="0" w:line="19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9525</wp:posOffset>
            </wp:positionV>
            <wp:extent cx="33528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352800" cy="8255"/>
                    </a:xfrm>
                    <a:prstGeom prst="rect">
                      <a:avLst/>
                    </a:prstGeom>
                    <a:noFill/>
                  </pic:spPr>
                </pic:pic>
              </a:graphicData>
            </a:graphic>
          </wp:anchor>
        </w:drawing>
      </w:r>
    </w:p>
    <w:p>
      <w:pPr>
        <w:spacing w:after="0" w:line="7"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Julie Ryan</w:t>
      </w:r>
    </w:p>
    <w:p>
      <w:pPr>
        <w:spacing w:after="0" w:line="175"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Vice President, Finance</w:t>
      </w:r>
    </w:p>
    <w:p>
      <w:pPr>
        <w:spacing w:after="0" w:line="191"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Theis Terwey and Julie Ryan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ind w:firstLine="309"/>
        <w:spacing w:after="0" w:line="273"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Signature</w:t>
            </w:r>
          </w:p>
        </w:tc>
        <w:tc>
          <w:tcPr>
            <w:tcW w:w="220" w:type="dxa"/>
            <w:vAlign w:val="bottom"/>
          </w:tcPr>
          <w:p>
            <w:pPr>
              <w:spacing w:after="0"/>
              <w:rPr>
                <w:sz w:val="18"/>
                <w:szCs w:val="18"/>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Title</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w:t>
            </w:r>
          </w:p>
        </w:tc>
      </w:tr>
      <w:tr>
        <w:trPr>
          <w:trHeight w:val="379"/>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Theis Terwey</w:t>
            </w:r>
          </w:p>
        </w:tc>
        <w:tc>
          <w:tcPr>
            <w:tcW w:w="6520" w:type="dxa"/>
            <w:vAlign w:val="bottom"/>
            <w:gridSpan w:val="3"/>
          </w:tcPr>
          <w:p>
            <w:pPr>
              <w:ind w:left="220"/>
              <w:spacing w:after="0"/>
              <w:rPr>
                <w:sz w:val="20"/>
                <w:szCs w:val="20"/>
                <w:color w:val="auto"/>
              </w:rPr>
            </w:pPr>
            <w:r>
              <w:rPr>
                <w:rFonts w:ascii="Arial" w:cs="Arial" w:eastAsia="Arial" w:hAnsi="Arial"/>
                <w:sz w:val="17"/>
                <w:szCs w:val="17"/>
                <w:color w:val="auto"/>
              </w:rPr>
              <w:t>Chief Executive Officer (Principal Executive Officer)</w:t>
            </w:r>
          </w:p>
        </w:tc>
        <w:tc>
          <w:tcPr>
            <w:tcW w:w="1340" w:type="dxa"/>
            <w:vAlign w:val="bottom"/>
          </w:tcPr>
          <w:p>
            <w:pPr>
              <w:spacing w:after="0"/>
              <w:rPr>
                <w:sz w:val="20"/>
                <w:szCs w:val="20"/>
                <w:color w:val="auto"/>
              </w:rPr>
            </w:pPr>
            <w:r>
              <w:rPr>
                <w:rFonts w:ascii="Arial" w:cs="Arial" w:eastAsia="Arial" w:hAnsi="Arial"/>
                <w:sz w:val="17"/>
                <w:szCs w:val="17"/>
                <w:color w:val="auto"/>
              </w:rPr>
              <w:t>March 9, 2023</w:t>
            </w: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Theis Terwey</w:t>
            </w:r>
          </w:p>
        </w:tc>
        <w:tc>
          <w:tcPr>
            <w:tcW w:w="2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47"/>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Julie Ryan</w:t>
            </w:r>
          </w:p>
        </w:tc>
        <w:tc>
          <w:tcPr>
            <w:tcW w:w="6520" w:type="dxa"/>
            <w:vAlign w:val="bottom"/>
            <w:gridSpan w:val="3"/>
          </w:tcPr>
          <w:p>
            <w:pPr>
              <w:ind w:left="220"/>
              <w:spacing w:after="0"/>
              <w:rPr>
                <w:sz w:val="20"/>
                <w:szCs w:val="20"/>
                <w:color w:val="auto"/>
              </w:rPr>
            </w:pPr>
            <w:r>
              <w:rPr>
                <w:rFonts w:ascii="Arial" w:cs="Arial" w:eastAsia="Arial" w:hAnsi="Arial"/>
                <w:sz w:val="17"/>
                <w:szCs w:val="17"/>
                <w:color w:val="auto"/>
              </w:rPr>
              <w:t>Vice President, Finance (Principal Financial Officer and Principal Accounting</w:t>
            </w:r>
          </w:p>
        </w:tc>
        <w:tc>
          <w:tcPr>
            <w:tcW w:w="1340" w:type="dxa"/>
            <w:vAlign w:val="bottom"/>
          </w:tcPr>
          <w:p>
            <w:pPr>
              <w:spacing w:after="0"/>
              <w:rPr>
                <w:sz w:val="20"/>
                <w:szCs w:val="20"/>
                <w:color w:val="auto"/>
              </w:rPr>
            </w:pPr>
            <w:r>
              <w:rPr>
                <w:rFonts w:ascii="Arial" w:cs="Arial" w:eastAsia="Arial" w:hAnsi="Arial"/>
                <w:sz w:val="17"/>
                <w:szCs w:val="17"/>
                <w:color w:val="auto"/>
              </w:rPr>
              <w:t>March 9, 2023</w:t>
            </w:r>
          </w:p>
        </w:tc>
      </w:tr>
      <w:tr>
        <w:trPr>
          <w:trHeight w:val="225"/>
        </w:trPr>
        <w:tc>
          <w:tcPr>
            <w:tcW w:w="3380" w:type="dxa"/>
            <w:vAlign w:val="bottom"/>
          </w:tcPr>
          <w:p>
            <w:pPr>
              <w:spacing w:after="0"/>
              <w:rPr>
                <w:sz w:val="20"/>
                <w:szCs w:val="20"/>
                <w:color w:val="auto"/>
              </w:rPr>
            </w:pPr>
            <w:r>
              <w:rPr>
                <w:rFonts w:ascii="Arial" w:cs="Arial" w:eastAsia="Arial" w:hAnsi="Arial"/>
                <w:sz w:val="17"/>
                <w:szCs w:val="17"/>
                <w:color w:val="auto"/>
              </w:rPr>
              <w:t>Julie Ryan</w:t>
            </w:r>
          </w:p>
        </w:tc>
        <w:tc>
          <w:tcPr>
            <w:tcW w:w="6520" w:type="dxa"/>
            <w:vAlign w:val="bottom"/>
            <w:gridSpan w:val="3"/>
          </w:tcPr>
          <w:p>
            <w:pPr>
              <w:ind w:left="220"/>
              <w:spacing w:after="0"/>
              <w:rPr>
                <w:sz w:val="20"/>
                <w:szCs w:val="20"/>
                <w:color w:val="auto"/>
              </w:rPr>
            </w:pPr>
            <w:r>
              <w:rPr>
                <w:rFonts w:ascii="Arial" w:cs="Arial" w:eastAsia="Arial" w:hAnsi="Arial"/>
                <w:sz w:val="17"/>
                <w:szCs w:val="17"/>
                <w:color w:val="auto"/>
              </w:rPr>
              <w:t>Officer)</w:t>
            </w:r>
          </w:p>
        </w:tc>
        <w:tc>
          <w:tcPr>
            <w:tcW w:w="1340" w:type="dxa"/>
            <w:vAlign w:val="bottom"/>
          </w:tcPr>
          <w:p>
            <w:pPr>
              <w:spacing w:after="0"/>
              <w:rPr>
                <w:sz w:val="19"/>
                <w:szCs w:val="19"/>
                <w:color w:val="auto"/>
              </w:rPr>
            </w:pPr>
          </w:p>
        </w:tc>
      </w:tr>
      <w:tr>
        <w:trPr>
          <w:trHeight w:val="354"/>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Florian Schönharting</w:t>
            </w:r>
          </w:p>
        </w:tc>
        <w:tc>
          <w:tcPr>
            <w:tcW w:w="652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0"/>
                <w:szCs w:val="20"/>
                <w:color w:val="auto"/>
              </w:rPr>
            </w:pPr>
            <w:r>
              <w:rPr>
                <w:rFonts w:ascii="Arial" w:cs="Arial" w:eastAsia="Arial" w:hAnsi="Arial"/>
                <w:sz w:val="17"/>
                <w:szCs w:val="17"/>
                <w:color w:val="auto"/>
              </w:rPr>
              <w:t>March 9, 2023</w:t>
            </w: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Florian Schönharting</w:t>
            </w:r>
          </w:p>
        </w:tc>
        <w:tc>
          <w:tcPr>
            <w:tcW w:w="2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54"/>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Forer</w:t>
            </w:r>
          </w:p>
        </w:tc>
        <w:tc>
          <w:tcPr>
            <w:tcW w:w="652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0"/>
                <w:szCs w:val="20"/>
                <w:color w:val="auto"/>
              </w:rPr>
            </w:pPr>
            <w:r>
              <w:rPr>
                <w:rFonts w:ascii="Arial" w:cs="Arial" w:eastAsia="Arial" w:hAnsi="Arial"/>
                <w:sz w:val="17"/>
                <w:szCs w:val="17"/>
                <w:color w:val="auto"/>
              </w:rPr>
              <w:t>March 9, 2023</w:t>
            </w: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Michael Forer</w:t>
            </w:r>
          </w:p>
        </w:tc>
        <w:tc>
          <w:tcPr>
            <w:tcW w:w="2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54"/>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Dermot Hanley</w:t>
            </w:r>
          </w:p>
        </w:tc>
        <w:tc>
          <w:tcPr>
            <w:tcW w:w="652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0"/>
                <w:szCs w:val="20"/>
                <w:color w:val="auto"/>
              </w:rPr>
            </w:pPr>
            <w:r>
              <w:rPr>
                <w:rFonts w:ascii="Arial" w:cs="Arial" w:eastAsia="Arial" w:hAnsi="Arial"/>
                <w:sz w:val="17"/>
                <w:szCs w:val="17"/>
                <w:color w:val="auto"/>
              </w:rPr>
              <w:t>March 9, 2023</w:t>
            </w: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Dermot Hanley</w:t>
            </w:r>
          </w:p>
        </w:tc>
        <w:tc>
          <w:tcPr>
            <w:tcW w:w="2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54"/>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Duncan Moore</w:t>
            </w:r>
          </w:p>
        </w:tc>
        <w:tc>
          <w:tcPr>
            <w:tcW w:w="652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0"/>
                <w:szCs w:val="20"/>
                <w:color w:val="auto"/>
              </w:rPr>
            </w:pPr>
            <w:r>
              <w:rPr>
                <w:rFonts w:ascii="Arial" w:cs="Arial" w:eastAsia="Arial" w:hAnsi="Arial"/>
                <w:sz w:val="17"/>
                <w:szCs w:val="17"/>
                <w:color w:val="auto"/>
              </w:rPr>
              <w:t>March 9, 2023</w:t>
            </w: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Duncan Moore</w:t>
            </w:r>
          </w:p>
        </w:tc>
        <w:tc>
          <w:tcPr>
            <w:tcW w:w="2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534"/>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 OF AUTHORIZED REPRESENTATIVE IN THE UNITED STATES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Pursuant to the Securities Act of 1933, as amended, the undersigned, the duly authorized representative in the United States of America, has signed this registration statement thereto in New York, NY on March 9, 2023.</w:t>
      </w:r>
    </w:p>
    <w:p>
      <w:pPr>
        <w:spacing w:after="0" w:line="20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b w:val="1"/>
          <w:bCs w:val="1"/>
          <w:color w:val="auto"/>
        </w:rPr>
        <w:t>Authorized U.S. Representative--Cogency Global Inc.</w:t>
      </w:r>
    </w:p>
    <w:p>
      <w:pPr>
        <w:spacing w:after="0" w:line="37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33655</wp:posOffset>
            </wp:positionV>
            <wp:extent cx="26739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673985" cy="8255"/>
                    </a:xfrm>
                    <a:prstGeom prst="rect">
                      <a:avLst/>
                    </a:prstGeom>
                    <a:noFill/>
                  </pic:spPr>
                </pic:pic>
              </a:graphicData>
            </a:graphic>
          </wp:anchor>
        </w:drawing>
      </w:r>
    </w:p>
    <w:p>
      <w:pPr>
        <w:spacing w:after="0" w:line="8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Name: Colleen A. De Vries</w:t>
      </w:r>
    </w:p>
    <w:p>
      <w:pPr>
        <w:spacing w:after="0" w:line="8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Title: Senior Vice-President on behalf of</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382270</wp:posOffset>
            </wp:positionV>
            <wp:extent cx="71386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4.3</w:t>
      </w:r>
    </w:p>
    <w:p>
      <w:pPr>
        <w:spacing w:after="0" w:line="190"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GH Research PLC</w:t>
      </w:r>
    </w:p>
    <w:p>
      <w:pPr>
        <w:spacing w:after="0" w:line="200" w:lineRule="exact"/>
        <w:rPr>
          <w:sz w:val="20"/>
          <w:szCs w:val="20"/>
          <w:color w:val="auto"/>
        </w:rPr>
      </w:pPr>
    </w:p>
    <w:p>
      <w:pPr>
        <w:spacing w:after="0" w:line="377"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INDENTURE</w:t>
      </w:r>
    </w:p>
    <w:p>
      <w:pPr>
        <w:spacing w:after="0" w:line="200" w:lineRule="exact"/>
        <w:rPr>
          <w:sz w:val="20"/>
          <w:szCs w:val="20"/>
          <w:color w:val="auto"/>
        </w:rPr>
      </w:pPr>
    </w:p>
    <w:p>
      <w:pPr>
        <w:spacing w:after="0" w:line="37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Dated as of [___]</w:t>
      </w:r>
    </w:p>
    <w:p>
      <w:pPr>
        <w:spacing w:after="0" w:line="200" w:lineRule="exact"/>
        <w:rPr>
          <w:sz w:val="20"/>
          <w:szCs w:val="20"/>
          <w:color w:val="auto"/>
        </w:rPr>
      </w:pPr>
    </w:p>
    <w:p>
      <w:pPr>
        <w:spacing w:after="0" w:line="377"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[___],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320040</wp:posOffset>
            </wp:positionV>
            <wp:extent cx="7138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TABLE OF CONTENTS</w:t>
            </w:r>
          </w:p>
        </w:tc>
        <w:tc>
          <w:tcPr>
            <w:tcW w:w="4480" w:type="dxa"/>
            <w:vAlign w:val="bottom"/>
          </w:tcPr>
          <w:p>
            <w:pPr>
              <w:spacing w:after="0"/>
              <w:rPr>
                <w:sz w:val="20"/>
                <w:szCs w:val="20"/>
                <w:color w:val="auto"/>
              </w:rPr>
            </w:pPr>
          </w:p>
        </w:tc>
      </w:tr>
      <w:tr>
        <w:trPr>
          <w:trHeight w:val="219"/>
        </w:trPr>
        <w:tc>
          <w:tcPr>
            <w:tcW w:w="45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4480" w:type="dxa"/>
            <w:vAlign w:val="bottom"/>
          </w:tcPr>
          <w:p>
            <w:pPr>
              <w:spacing w:after="0"/>
              <w:rPr>
                <w:sz w:val="19"/>
                <w:szCs w:val="19"/>
                <w:color w:val="auto"/>
              </w:rPr>
            </w:pPr>
          </w:p>
        </w:tc>
      </w:tr>
      <w:tr>
        <w:trPr>
          <w:trHeight w:val="427"/>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Definitions</w:t>
            </w:r>
          </w:p>
        </w:tc>
        <w:tc>
          <w:tcPr>
            <w:tcW w:w="44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Other Definitions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4</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Incorporation by Reference of Trust Indenture Act</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r>
      <w:tr>
        <w:trPr>
          <w:trHeight w:val="225"/>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Rules of Construction</w:t>
            </w:r>
          </w:p>
        </w:tc>
        <w:tc>
          <w:tcPr>
            <w:tcW w:w="44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54"/>
        </w:trPr>
        <w:tc>
          <w:tcPr>
            <w:tcW w:w="45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9"/>
              </w:rPr>
              <w:t>ARTICLE 2</w:t>
            </w:r>
          </w:p>
        </w:tc>
        <w:tc>
          <w:tcPr>
            <w:tcW w:w="4480" w:type="dxa"/>
            <w:vAlign w:val="bottom"/>
          </w:tcPr>
          <w:p>
            <w:pPr>
              <w:spacing w:after="0"/>
              <w:rPr>
                <w:sz w:val="24"/>
                <w:szCs w:val="24"/>
                <w:color w:val="auto"/>
              </w:rPr>
            </w:pPr>
          </w:p>
        </w:tc>
      </w:tr>
      <w:tr>
        <w:trPr>
          <w:trHeight w:val="225"/>
        </w:trPr>
        <w:tc>
          <w:tcPr>
            <w:tcW w:w="45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he</w:t>
            </w:r>
            <w:r>
              <w:rPr>
                <w:rFonts w:ascii="Arial" w:cs="Arial" w:eastAsia="Arial" w:hAnsi="Arial"/>
                <w:sz w:val="17"/>
                <w:szCs w:val="17"/>
                <w:color w:val="auto"/>
              </w:rPr>
              <w:t xml:space="preserve"> S</w:t>
            </w:r>
            <w:r>
              <w:rPr>
                <w:rFonts w:ascii="Arial" w:cs="Arial" w:eastAsia="Arial" w:hAnsi="Arial"/>
                <w:sz w:val="11"/>
                <w:szCs w:val="11"/>
                <w:color w:val="auto"/>
              </w:rPr>
              <w:t>ecurities</w:t>
            </w:r>
          </w:p>
        </w:tc>
        <w:tc>
          <w:tcPr>
            <w:tcW w:w="4480" w:type="dxa"/>
            <w:vAlign w:val="bottom"/>
          </w:tcPr>
          <w:p>
            <w:pPr>
              <w:spacing w:after="0"/>
              <w:rPr>
                <w:sz w:val="19"/>
                <w:szCs w:val="19"/>
                <w:color w:val="auto"/>
              </w:rPr>
            </w:pPr>
          </w:p>
        </w:tc>
      </w:tr>
      <w:tr>
        <w:trPr>
          <w:trHeight w:val="354"/>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Issuable in Series</w:t>
            </w:r>
          </w:p>
        </w:tc>
        <w:tc>
          <w:tcPr>
            <w:tcW w:w="44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Establishment of Terms of Series of Securities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6</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Execution and Authentication</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8</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Registrar and Paying Agent</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8</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Paying Agent to Hold Money in Trust</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Securityholder Lists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10</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Exchange and Registration of Transfer</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10</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Mutilated, Destroyed, Lost and Stolen Securities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Outstanding Securities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Treasury Securities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Temporary Securities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i w:val="1"/>
                <w:iCs w:val="1"/>
                <w:color w:val="auto"/>
              </w:rPr>
              <w:t>Cancellation</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Registered Global Securities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i w:val="1"/>
                <w:iCs w:val="1"/>
                <w:color w:val="auto"/>
              </w:rPr>
              <w:t>Computation of Interest</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13</w:t>
            </w:r>
          </w:p>
        </w:tc>
      </w:tr>
      <w:tr>
        <w:trPr>
          <w:trHeight w:val="225"/>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i w:val="1"/>
                <w:iCs w:val="1"/>
                <w:color w:val="auto"/>
              </w:rPr>
              <w:t>CUSIP and ISIN Numbers</w:t>
            </w:r>
          </w:p>
        </w:tc>
        <w:tc>
          <w:tcPr>
            <w:tcW w:w="44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54"/>
        </w:trPr>
        <w:tc>
          <w:tcPr>
            <w:tcW w:w="45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9"/>
              </w:rPr>
              <w:t>ARTICLE 3</w:t>
            </w:r>
          </w:p>
        </w:tc>
        <w:tc>
          <w:tcPr>
            <w:tcW w:w="4480" w:type="dxa"/>
            <w:vAlign w:val="bottom"/>
          </w:tcPr>
          <w:p>
            <w:pPr>
              <w:spacing w:after="0"/>
              <w:rPr>
                <w:sz w:val="24"/>
                <w:szCs w:val="24"/>
                <w:color w:val="auto"/>
              </w:rPr>
            </w:pPr>
          </w:p>
        </w:tc>
      </w:tr>
      <w:tr>
        <w:trPr>
          <w:trHeight w:val="225"/>
        </w:trPr>
        <w:tc>
          <w:tcPr>
            <w:tcW w:w="45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rPr>
              <w:t>R</w:t>
            </w:r>
            <w:r>
              <w:rPr>
                <w:rFonts w:ascii="Arial" w:cs="Arial" w:eastAsia="Arial" w:hAnsi="Arial"/>
                <w:sz w:val="11"/>
                <w:szCs w:val="11"/>
                <w:color w:val="auto"/>
              </w:rPr>
              <w:t>edemption</w:t>
            </w:r>
          </w:p>
        </w:tc>
        <w:tc>
          <w:tcPr>
            <w:tcW w:w="4480" w:type="dxa"/>
            <w:vAlign w:val="bottom"/>
          </w:tcPr>
          <w:p>
            <w:pPr>
              <w:spacing w:after="0"/>
              <w:rPr>
                <w:sz w:val="19"/>
                <w:szCs w:val="19"/>
                <w:color w:val="auto"/>
              </w:rPr>
            </w:pPr>
          </w:p>
        </w:tc>
      </w:tr>
      <w:tr>
        <w:trPr>
          <w:trHeight w:val="354"/>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Notice to Trustee</w:t>
            </w:r>
          </w:p>
        </w:tc>
        <w:tc>
          <w:tcPr>
            <w:tcW w:w="44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Selection of Securities to Be Redeemed</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Notice of Redemption</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Effect of Notice of Redemption</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15</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Deposit of Redemption Price</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15</w:t>
            </w:r>
          </w:p>
        </w:tc>
      </w:tr>
      <w:tr>
        <w:trPr>
          <w:trHeight w:val="225"/>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i w:val="1"/>
                <w:iCs w:val="1"/>
                <w:color w:val="auto"/>
              </w:rPr>
              <w:t>Securities Redeemed in Part</w:t>
            </w:r>
          </w:p>
        </w:tc>
        <w:tc>
          <w:tcPr>
            <w:tcW w:w="44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54"/>
        </w:trPr>
        <w:tc>
          <w:tcPr>
            <w:tcW w:w="45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9"/>
              </w:rPr>
              <w:t>ARTICLE 4</w:t>
            </w:r>
          </w:p>
        </w:tc>
        <w:tc>
          <w:tcPr>
            <w:tcW w:w="4480" w:type="dxa"/>
            <w:vAlign w:val="bottom"/>
          </w:tcPr>
          <w:p>
            <w:pPr>
              <w:spacing w:after="0"/>
              <w:rPr>
                <w:sz w:val="24"/>
                <w:szCs w:val="24"/>
                <w:color w:val="auto"/>
              </w:rPr>
            </w:pPr>
          </w:p>
        </w:tc>
      </w:tr>
      <w:tr>
        <w:trPr>
          <w:trHeight w:val="225"/>
        </w:trPr>
        <w:tc>
          <w:tcPr>
            <w:tcW w:w="45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ovenants</w:t>
            </w:r>
          </w:p>
        </w:tc>
        <w:tc>
          <w:tcPr>
            <w:tcW w:w="4480" w:type="dxa"/>
            <w:vAlign w:val="bottom"/>
          </w:tcPr>
          <w:p>
            <w:pPr>
              <w:spacing w:after="0"/>
              <w:rPr>
                <w:sz w:val="19"/>
                <w:szCs w:val="19"/>
                <w:color w:val="auto"/>
              </w:rPr>
            </w:pPr>
          </w:p>
        </w:tc>
      </w:tr>
      <w:tr>
        <w:trPr>
          <w:trHeight w:val="354"/>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Principal and Interest</w:t>
            </w:r>
          </w:p>
        </w:tc>
        <w:tc>
          <w:tcPr>
            <w:tcW w:w="44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SEC Reports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15</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Stay, Extension and Usury Laws</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15</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Corporate Existence</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15</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Maintenance of Office or Agency</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16</w:t>
            </w:r>
          </w:p>
        </w:tc>
      </w:tr>
      <w:tr>
        <w:trPr>
          <w:trHeight w:val="193"/>
        </w:trPr>
        <w:tc>
          <w:tcPr>
            <w:tcW w:w="676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Money for Securities Payments to Be Held in Trust</w:t>
            </w:r>
          </w:p>
        </w:tc>
        <w:tc>
          <w:tcPr>
            <w:tcW w:w="4480" w:type="dxa"/>
            <w:vAlign w:val="bottom"/>
          </w:tcPr>
          <w:p>
            <w:pPr>
              <w:jc w:val="right"/>
              <w:spacing w:after="0" w:line="194" w:lineRule="exact"/>
              <w:rPr>
                <w:sz w:val="20"/>
                <w:szCs w:val="20"/>
                <w:color w:val="auto"/>
              </w:rPr>
            </w:pPr>
            <w:r>
              <w:rPr>
                <w:rFonts w:ascii="Arial" w:cs="Arial" w:eastAsia="Arial" w:hAnsi="Arial"/>
                <w:sz w:val="17"/>
                <w:szCs w:val="17"/>
                <w:color w:val="auto"/>
              </w:rPr>
              <w:t>16</w:t>
            </w:r>
          </w:p>
        </w:tc>
      </w:tr>
      <w:tr>
        <w:trPr>
          <w:trHeight w:val="225"/>
        </w:trPr>
        <w:tc>
          <w:tcPr>
            <w:tcW w:w="6760" w:type="dxa"/>
            <w:vAlign w:val="bottom"/>
            <w:gridSpan w:val="2"/>
          </w:tcPr>
          <w:p>
            <w:pPr>
              <w:spacing w:after="0"/>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Waiver of Certain Covenants</w:t>
            </w:r>
          </w:p>
        </w:tc>
        <w:tc>
          <w:tcPr>
            <w:tcW w:w="448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9060" w:type="dxa"/>
            <w:vAlign w:val="bottom"/>
          </w:tcPr>
          <w:p>
            <w:pPr>
              <w:jc w:val="center"/>
              <w:ind w:left="2114"/>
              <w:spacing w:after="0"/>
              <w:rPr>
                <w:sz w:val="20"/>
                <w:szCs w:val="20"/>
                <w:color w:val="auto"/>
              </w:rPr>
            </w:pPr>
            <w:r>
              <w:rPr>
                <w:rFonts w:ascii="Arial" w:cs="Arial" w:eastAsia="Arial" w:hAnsi="Arial"/>
                <w:sz w:val="17"/>
                <w:szCs w:val="17"/>
                <w:color w:val="auto"/>
                <w:w w:val="99"/>
              </w:rPr>
              <w:t>ARTICLE 5</w:t>
            </w:r>
          </w:p>
        </w:tc>
        <w:tc>
          <w:tcPr>
            <w:tcW w:w="2180" w:type="dxa"/>
            <w:vAlign w:val="bottom"/>
          </w:tcPr>
          <w:p>
            <w:pPr>
              <w:spacing w:after="0"/>
              <w:rPr>
                <w:sz w:val="16"/>
                <w:szCs w:val="16"/>
                <w:color w:val="auto"/>
              </w:rPr>
            </w:pPr>
          </w:p>
        </w:tc>
      </w:tr>
      <w:tr>
        <w:trPr>
          <w:trHeight w:val="225"/>
        </w:trPr>
        <w:tc>
          <w:tcPr>
            <w:tcW w:w="9060" w:type="dxa"/>
            <w:vAlign w:val="bottom"/>
          </w:tcPr>
          <w:p>
            <w:pPr>
              <w:jc w:val="center"/>
              <w:ind w:left="2094"/>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uccessors</w:t>
            </w:r>
          </w:p>
        </w:tc>
        <w:tc>
          <w:tcPr>
            <w:tcW w:w="2180" w:type="dxa"/>
            <w:vAlign w:val="bottom"/>
          </w:tcPr>
          <w:p>
            <w:pPr>
              <w:spacing w:after="0"/>
              <w:rPr>
                <w:sz w:val="19"/>
                <w:szCs w:val="19"/>
                <w:color w:val="auto"/>
              </w:rPr>
            </w:pPr>
          </w:p>
        </w:tc>
      </w:tr>
      <w:tr>
        <w:trPr>
          <w:trHeight w:val="354"/>
        </w:trPr>
        <w:tc>
          <w:tcPr>
            <w:tcW w:w="9060" w:type="dxa"/>
            <w:vAlign w:val="bottom"/>
          </w:tcPr>
          <w:p>
            <w:pPr>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When Company May Merge, Etc</w:t>
            </w:r>
          </w:p>
        </w:tc>
        <w:tc>
          <w:tcPr>
            <w:tcW w:w="21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5"/>
        </w:trPr>
        <w:tc>
          <w:tcPr>
            <w:tcW w:w="9060" w:type="dxa"/>
            <w:vAlign w:val="bottom"/>
          </w:tcPr>
          <w:p>
            <w:pPr>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Successor Corporation Substituted</w:t>
            </w:r>
          </w:p>
        </w:tc>
        <w:tc>
          <w:tcPr>
            <w:tcW w:w="21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54"/>
        </w:trPr>
        <w:tc>
          <w:tcPr>
            <w:tcW w:w="9060" w:type="dxa"/>
            <w:vAlign w:val="bottom"/>
          </w:tcPr>
          <w:p>
            <w:pPr>
              <w:jc w:val="center"/>
              <w:ind w:left="2114"/>
              <w:spacing w:after="0"/>
              <w:rPr>
                <w:sz w:val="20"/>
                <w:szCs w:val="20"/>
                <w:color w:val="auto"/>
              </w:rPr>
            </w:pPr>
            <w:r>
              <w:rPr>
                <w:rFonts w:ascii="Arial" w:cs="Arial" w:eastAsia="Arial" w:hAnsi="Arial"/>
                <w:sz w:val="17"/>
                <w:szCs w:val="17"/>
                <w:color w:val="auto"/>
                <w:w w:val="99"/>
              </w:rPr>
              <w:t>ARTICLE 6</w:t>
            </w:r>
          </w:p>
        </w:tc>
        <w:tc>
          <w:tcPr>
            <w:tcW w:w="2180" w:type="dxa"/>
            <w:vAlign w:val="bottom"/>
          </w:tcPr>
          <w:p>
            <w:pPr>
              <w:spacing w:after="0"/>
              <w:rPr>
                <w:sz w:val="24"/>
                <w:szCs w:val="24"/>
                <w:color w:val="auto"/>
              </w:rPr>
            </w:pPr>
          </w:p>
        </w:tc>
      </w:tr>
      <w:tr>
        <w:trPr>
          <w:trHeight w:val="225"/>
        </w:trPr>
        <w:tc>
          <w:tcPr>
            <w:tcW w:w="9060" w:type="dxa"/>
            <w:vAlign w:val="bottom"/>
          </w:tcPr>
          <w:p>
            <w:pPr>
              <w:jc w:val="center"/>
              <w:ind w:left="2114"/>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efaults and</w:t>
            </w:r>
            <w:r>
              <w:rPr>
                <w:rFonts w:ascii="Arial" w:cs="Arial" w:eastAsia="Arial" w:hAnsi="Arial"/>
                <w:sz w:val="17"/>
                <w:szCs w:val="17"/>
                <w:color w:val="auto"/>
              </w:rPr>
              <w:t xml:space="preserve"> R</w:t>
            </w:r>
            <w:r>
              <w:rPr>
                <w:rFonts w:ascii="Arial" w:cs="Arial" w:eastAsia="Arial" w:hAnsi="Arial"/>
                <w:sz w:val="11"/>
                <w:szCs w:val="11"/>
                <w:color w:val="auto"/>
              </w:rPr>
              <w:t>emedies</w:t>
            </w:r>
          </w:p>
        </w:tc>
        <w:tc>
          <w:tcPr>
            <w:tcW w:w="2180" w:type="dxa"/>
            <w:vAlign w:val="bottom"/>
          </w:tcPr>
          <w:p>
            <w:pPr>
              <w:spacing w:after="0"/>
              <w:rPr>
                <w:sz w:val="19"/>
                <w:szCs w:val="19"/>
                <w:color w:val="auto"/>
              </w:rPr>
            </w:pPr>
          </w:p>
        </w:tc>
      </w:tr>
      <w:tr>
        <w:trPr>
          <w:trHeight w:val="354"/>
        </w:trPr>
        <w:tc>
          <w:tcPr>
            <w:tcW w:w="9060" w:type="dxa"/>
            <w:vAlign w:val="bottom"/>
          </w:tcPr>
          <w:p>
            <w:pPr>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Events of Default</w:t>
            </w:r>
          </w:p>
        </w:tc>
        <w:tc>
          <w:tcPr>
            <w:tcW w:w="21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 of Maturity; Rescission and Annulment</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19</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Collection of Indebtedness and Suits for Enforcement by Trustee</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20</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Trustee May File Proofs of Claim</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21</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Trustee May Enforce Claims without Possession of Securities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21</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Application of Money Collected</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21</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i w:val="1"/>
                <w:iCs w:val="1"/>
                <w:color w:val="auto"/>
              </w:rPr>
              <w:t>Limitation on Suits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22</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i w:val="1"/>
                <w:iCs w:val="1"/>
                <w:color w:val="auto"/>
              </w:rPr>
              <w:t>Unconditional Right of Holders to Receive Principal and Interest</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22</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Restoration of Rights and Remedies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22</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Rights and Remedies Cumulative</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22</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i w:val="1"/>
                <w:iCs w:val="1"/>
                <w:color w:val="auto"/>
              </w:rPr>
              <w:t>Delay or Omission Not Waiver</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23</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Control by Holders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23</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Waiver of Past Defaults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23</w:t>
            </w:r>
          </w:p>
        </w:tc>
      </w:tr>
      <w:tr>
        <w:trPr>
          <w:trHeight w:val="225"/>
        </w:trPr>
        <w:tc>
          <w:tcPr>
            <w:tcW w:w="9060" w:type="dxa"/>
            <w:vAlign w:val="bottom"/>
          </w:tcPr>
          <w:p>
            <w:pPr>
              <w:spacing w:after="0"/>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i w:val="1"/>
                <w:iCs w:val="1"/>
                <w:color w:val="auto"/>
              </w:rPr>
              <w:t>Undertaking for Costs</w:t>
            </w:r>
          </w:p>
        </w:tc>
        <w:tc>
          <w:tcPr>
            <w:tcW w:w="21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54"/>
        </w:trPr>
        <w:tc>
          <w:tcPr>
            <w:tcW w:w="9060" w:type="dxa"/>
            <w:vAlign w:val="bottom"/>
          </w:tcPr>
          <w:p>
            <w:pPr>
              <w:jc w:val="center"/>
              <w:ind w:left="2114"/>
              <w:spacing w:after="0"/>
              <w:rPr>
                <w:sz w:val="20"/>
                <w:szCs w:val="20"/>
                <w:color w:val="auto"/>
              </w:rPr>
            </w:pPr>
            <w:r>
              <w:rPr>
                <w:rFonts w:ascii="Arial" w:cs="Arial" w:eastAsia="Arial" w:hAnsi="Arial"/>
                <w:sz w:val="17"/>
                <w:szCs w:val="17"/>
                <w:color w:val="auto"/>
                <w:w w:val="99"/>
              </w:rPr>
              <w:t>ARTICLE 7</w:t>
            </w:r>
          </w:p>
        </w:tc>
        <w:tc>
          <w:tcPr>
            <w:tcW w:w="2180" w:type="dxa"/>
            <w:vAlign w:val="bottom"/>
          </w:tcPr>
          <w:p>
            <w:pPr>
              <w:spacing w:after="0"/>
              <w:rPr>
                <w:sz w:val="24"/>
                <w:szCs w:val="24"/>
                <w:color w:val="auto"/>
              </w:rPr>
            </w:pPr>
          </w:p>
        </w:tc>
      </w:tr>
      <w:tr>
        <w:trPr>
          <w:trHeight w:val="225"/>
        </w:trPr>
        <w:tc>
          <w:tcPr>
            <w:tcW w:w="9060" w:type="dxa"/>
            <w:vAlign w:val="bottom"/>
          </w:tcPr>
          <w:p>
            <w:pPr>
              <w:jc w:val="center"/>
              <w:ind w:left="2114"/>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rustee</w:t>
            </w:r>
          </w:p>
        </w:tc>
        <w:tc>
          <w:tcPr>
            <w:tcW w:w="2180" w:type="dxa"/>
            <w:vAlign w:val="bottom"/>
          </w:tcPr>
          <w:p>
            <w:pPr>
              <w:spacing w:after="0"/>
              <w:rPr>
                <w:sz w:val="19"/>
                <w:szCs w:val="19"/>
                <w:color w:val="auto"/>
              </w:rPr>
            </w:pPr>
          </w:p>
        </w:tc>
      </w:tr>
      <w:tr>
        <w:trPr>
          <w:trHeight w:val="354"/>
        </w:trPr>
        <w:tc>
          <w:tcPr>
            <w:tcW w:w="9060" w:type="dxa"/>
            <w:vAlign w:val="bottom"/>
          </w:tcPr>
          <w:p>
            <w:pPr>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Duties of Trustee</w:t>
            </w:r>
          </w:p>
        </w:tc>
        <w:tc>
          <w:tcPr>
            <w:tcW w:w="21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Rights of Trustee</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24</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Individual Rights of Trustee</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25</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Trustee’s Disclaimer</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25</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25</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i w:val="1"/>
                <w:iCs w:val="1"/>
                <w:color w:val="auto"/>
              </w:rPr>
              <w:t>Reports by Trustee to Holders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26</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Compensation and Indemnity</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26</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i w:val="1"/>
                <w:iCs w:val="1"/>
                <w:color w:val="auto"/>
              </w:rPr>
              <w:t>Replacement of Trustee</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26</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Successor Trustee by Merger, etc</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27</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i w:val="1"/>
                <w:iCs w:val="1"/>
                <w:color w:val="auto"/>
              </w:rPr>
              <w:t>Eligibility; Disqualification</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27</w:t>
            </w:r>
          </w:p>
        </w:tc>
      </w:tr>
      <w:tr>
        <w:trPr>
          <w:trHeight w:val="225"/>
        </w:trPr>
        <w:tc>
          <w:tcPr>
            <w:tcW w:w="9060" w:type="dxa"/>
            <w:vAlign w:val="bottom"/>
          </w:tcPr>
          <w:p>
            <w:pPr>
              <w:spacing w:after="0"/>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Preferential Collection of Claims against Company</w:t>
            </w:r>
          </w:p>
        </w:tc>
        <w:tc>
          <w:tcPr>
            <w:tcW w:w="21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54"/>
        </w:trPr>
        <w:tc>
          <w:tcPr>
            <w:tcW w:w="9060" w:type="dxa"/>
            <w:vAlign w:val="bottom"/>
          </w:tcPr>
          <w:p>
            <w:pPr>
              <w:jc w:val="center"/>
              <w:ind w:left="2114"/>
              <w:spacing w:after="0"/>
              <w:rPr>
                <w:sz w:val="20"/>
                <w:szCs w:val="20"/>
                <w:color w:val="auto"/>
              </w:rPr>
            </w:pPr>
            <w:r>
              <w:rPr>
                <w:rFonts w:ascii="Arial" w:cs="Arial" w:eastAsia="Arial" w:hAnsi="Arial"/>
                <w:sz w:val="17"/>
                <w:szCs w:val="17"/>
                <w:color w:val="auto"/>
                <w:w w:val="99"/>
              </w:rPr>
              <w:t>ARTICLE 8</w:t>
            </w:r>
          </w:p>
        </w:tc>
        <w:tc>
          <w:tcPr>
            <w:tcW w:w="2180" w:type="dxa"/>
            <w:vAlign w:val="bottom"/>
          </w:tcPr>
          <w:p>
            <w:pPr>
              <w:spacing w:after="0"/>
              <w:rPr>
                <w:sz w:val="24"/>
                <w:szCs w:val="24"/>
                <w:color w:val="auto"/>
              </w:rPr>
            </w:pPr>
          </w:p>
        </w:tc>
      </w:tr>
      <w:tr>
        <w:trPr>
          <w:trHeight w:val="225"/>
        </w:trPr>
        <w:tc>
          <w:tcPr>
            <w:tcW w:w="9060" w:type="dxa"/>
            <w:vAlign w:val="bottom"/>
          </w:tcPr>
          <w:p>
            <w:pPr>
              <w:jc w:val="center"/>
              <w:ind w:left="2114"/>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atisfaction and</w:t>
            </w:r>
            <w:r>
              <w:rPr>
                <w:rFonts w:ascii="Arial" w:cs="Arial" w:eastAsia="Arial" w:hAnsi="Arial"/>
                <w:sz w:val="17"/>
                <w:szCs w:val="17"/>
                <w:color w:val="auto"/>
              </w:rPr>
              <w:t xml:space="preserve"> D</w:t>
            </w:r>
            <w:r>
              <w:rPr>
                <w:rFonts w:ascii="Arial" w:cs="Arial" w:eastAsia="Arial" w:hAnsi="Arial"/>
                <w:sz w:val="11"/>
                <w:szCs w:val="11"/>
                <w:color w:val="auto"/>
              </w:rPr>
              <w:t>ischarge</w:t>
            </w:r>
            <w:r>
              <w:rPr>
                <w:rFonts w:ascii="Arial" w:cs="Arial" w:eastAsia="Arial" w:hAnsi="Arial"/>
                <w:sz w:val="17"/>
                <w:szCs w:val="17"/>
                <w:color w:val="auto"/>
              </w:rPr>
              <w:t>; D</w:t>
            </w:r>
            <w:r>
              <w:rPr>
                <w:rFonts w:ascii="Arial" w:cs="Arial" w:eastAsia="Arial" w:hAnsi="Arial"/>
                <w:sz w:val="11"/>
                <w:szCs w:val="11"/>
                <w:color w:val="auto"/>
              </w:rPr>
              <w:t>efeasance</w:t>
            </w:r>
          </w:p>
        </w:tc>
        <w:tc>
          <w:tcPr>
            <w:tcW w:w="2180" w:type="dxa"/>
            <w:vAlign w:val="bottom"/>
          </w:tcPr>
          <w:p>
            <w:pPr>
              <w:spacing w:after="0"/>
              <w:rPr>
                <w:sz w:val="19"/>
                <w:szCs w:val="19"/>
                <w:color w:val="auto"/>
              </w:rPr>
            </w:pPr>
          </w:p>
        </w:tc>
      </w:tr>
      <w:tr>
        <w:trPr>
          <w:trHeight w:val="354"/>
        </w:trPr>
        <w:tc>
          <w:tcPr>
            <w:tcW w:w="9060" w:type="dxa"/>
            <w:vAlign w:val="bottom"/>
          </w:tcPr>
          <w:p>
            <w:pPr>
              <w:spacing w:after="0"/>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Satisfaction and Discharge of Indenture</w:t>
            </w:r>
          </w:p>
        </w:tc>
        <w:tc>
          <w:tcPr>
            <w:tcW w:w="21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Application of Trust Funds; Indemnification</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28</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Legal Defeasance of Securities of any Series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29</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Covenant Defeasance</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30</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Repayment to Compan</w:t>
            </w:r>
            <w:r>
              <w:rPr>
                <w:rFonts w:ascii="Arial" w:cs="Arial" w:eastAsia="Arial" w:hAnsi="Arial"/>
                <w:sz w:val="17"/>
                <w:szCs w:val="17"/>
                <w:color w:val="auto"/>
              </w:rPr>
              <w:t>y</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31</w:t>
            </w:r>
          </w:p>
        </w:tc>
      </w:tr>
      <w:tr>
        <w:trPr>
          <w:trHeight w:val="225"/>
        </w:trPr>
        <w:tc>
          <w:tcPr>
            <w:tcW w:w="9060" w:type="dxa"/>
            <w:vAlign w:val="bottom"/>
          </w:tcPr>
          <w:p>
            <w:pPr>
              <w:spacing w:after="0"/>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i w:val="1"/>
                <w:iCs w:val="1"/>
                <w:color w:val="auto"/>
              </w:rPr>
              <w:t>Effect of Subordination Provisions</w:t>
            </w:r>
          </w:p>
        </w:tc>
        <w:tc>
          <w:tcPr>
            <w:tcW w:w="21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54"/>
        </w:trPr>
        <w:tc>
          <w:tcPr>
            <w:tcW w:w="9060" w:type="dxa"/>
            <w:vAlign w:val="bottom"/>
          </w:tcPr>
          <w:p>
            <w:pPr>
              <w:jc w:val="center"/>
              <w:ind w:left="2114"/>
              <w:spacing w:after="0"/>
              <w:rPr>
                <w:sz w:val="20"/>
                <w:szCs w:val="20"/>
                <w:color w:val="auto"/>
              </w:rPr>
            </w:pPr>
            <w:r>
              <w:rPr>
                <w:rFonts w:ascii="Arial" w:cs="Arial" w:eastAsia="Arial" w:hAnsi="Arial"/>
                <w:sz w:val="17"/>
                <w:szCs w:val="17"/>
                <w:color w:val="auto"/>
                <w:w w:val="99"/>
              </w:rPr>
              <w:t>ARTICLE 9</w:t>
            </w:r>
          </w:p>
        </w:tc>
        <w:tc>
          <w:tcPr>
            <w:tcW w:w="2180" w:type="dxa"/>
            <w:vAlign w:val="bottom"/>
          </w:tcPr>
          <w:p>
            <w:pPr>
              <w:spacing w:after="0"/>
              <w:rPr>
                <w:sz w:val="24"/>
                <w:szCs w:val="24"/>
                <w:color w:val="auto"/>
              </w:rPr>
            </w:pPr>
          </w:p>
        </w:tc>
      </w:tr>
      <w:tr>
        <w:trPr>
          <w:trHeight w:val="225"/>
        </w:trPr>
        <w:tc>
          <w:tcPr>
            <w:tcW w:w="9060" w:type="dxa"/>
            <w:vAlign w:val="bottom"/>
          </w:tcPr>
          <w:p>
            <w:pPr>
              <w:jc w:val="center"/>
              <w:ind w:left="2094"/>
              <w:spacing w:after="0"/>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mendments and</w:t>
            </w:r>
            <w:r>
              <w:rPr>
                <w:rFonts w:ascii="Arial" w:cs="Arial" w:eastAsia="Arial" w:hAnsi="Arial"/>
                <w:sz w:val="17"/>
                <w:szCs w:val="17"/>
                <w:color w:val="auto"/>
              </w:rPr>
              <w:t xml:space="preserve"> W</w:t>
            </w:r>
            <w:r>
              <w:rPr>
                <w:rFonts w:ascii="Arial" w:cs="Arial" w:eastAsia="Arial" w:hAnsi="Arial"/>
                <w:sz w:val="11"/>
                <w:szCs w:val="11"/>
                <w:color w:val="auto"/>
              </w:rPr>
              <w:t>aivers</w:t>
            </w:r>
          </w:p>
        </w:tc>
        <w:tc>
          <w:tcPr>
            <w:tcW w:w="2180" w:type="dxa"/>
            <w:vAlign w:val="bottom"/>
          </w:tcPr>
          <w:p>
            <w:pPr>
              <w:spacing w:after="0"/>
              <w:rPr>
                <w:sz w:val="19"/>
                <w:szCs w:val="19"/>
                <w:color w:val="auto"/>
              </w:rPr>
            </w:pPr>
          </w:p>
        </w:tc>
      </w:tr>
      <w:tr>
        <w:trPr>
          <w:trHeight w:val="354"/>
        </w:trPr>
        <w:tc>
          <w:tcPr>
            <w:tcW w:w="9060" w:type="dxa"/>
            <w:vAlign w:val="bottom"/>
          </w:tcPr>
          <w:p>
            <w:pPr>
              <w:spacing w:after="0"/>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i w:val="1"/>
                <w:iCs w:val="1"/>
                <w:color w:val="auto"/>
              </w:rPr>
              <w:t>Without Consent of Holders</w:t>
            </w:r>
          </w:p>
        </w:tc>
        <w:tc>
          <w:tcPr>
            <w:tcW w:w="21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193"/>
        </w:trPr>
        <w:tc>
          <w:tcPr>
            <w:tcW w:w="9060" w:type="dxa"/>
            <w:vAlign w:val="bottom"/>
          </w:tcPr>
          <w:p>
            <w:pPr>
              <w:spacing w:after="0" w:line="194" w:lineRule="exact"/>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With Consent of Holders</w:t>
            </w:r>
          </w:p>
        </w:tc>
        <w:tc>
          <w:tcPr>
            <w:tcW w:w="2180" w:type="dxa"/>
            <w:vAlign w:val="bottom"/>
          </w:tcPr>
          <w:p>
            <w:pPr>
              <w:jc w:val="right"/>
              <w:spacing w:after="0" w:line="194" w:lineRule="exact"/>
              <w:rPr>
                <w:sz w:val="20"/>
                <w:szCs w:val="20"/>
                <w:color w:val="auto"/>
              </w:rPr>
            </w:pPr>
            <w:r>
              <w:rPr>
                <w:rFonts w:ascii="Arial" w:cs="Arial" w:eastAsia="Arial" w:hAnsi="Arial"/>
                <w:sz w:val="17"/>
                <w:szCs w:val="17"/>
                <w:color w:val="auto"/>
              </w:rPr>
              <w:t>32</w:t>
            </w:r>
          </w:p>
        </w:tc>
      </w:tr>
      <w:tr>
        <w:trPr>
          <w:trHeight w:val="225"/>
        </w:trPr>
        <w:tc>
          <w:tcPr>
            <w:tcW w:w="9060" w:type="dxa"/>
            <w:vAlign w:val="bottom"/>
          </w:tcPr>
          <w:p>
            <w:pPr>
              <w:spacing w:after="0"/>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Limitations</w:t>
            </w:r>
          </w:p>
        </w:tc>
        <w:tc>
          <w:tcPr>
            <w:tcW w:w="2180" w:type="dxa"/>
            <w:vAlign w:val="bottom"/>
          </w:tcPr>
          <w:p>
            <w:pPr>
              <w:jc w:val="right"/>
              <w:spacing w:after="0"/>
              <w:rPr>
                <w:sz w:val="20"/>
                <w:szCs w:val="20"/>
                <w:color w:val="auto"/>
              </w:rPr>
            </w:pPr>
            <w:r>
              <w:rPr>
                <w:rFonts w:ascii="Arial" w:cs="Arial" w:eastAsia="Arial" w:hAnsi="Arial"/>
                <w:sz w:val="17"/>
                <w:szCs w:val="17"/>
                <w:color w:val="auto"/>
              </w:rPr>
              <w:t>33</w:t>
            </w:r>
          </w:p>
        </w:tc>
      </w:tr>
    </w:tbl>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Compliance with Trust Indenture Act</w:t>
            </w:r>
          </w:p>
        </w:tc>
        <w:tc>
          <w:tcPr>
            <w:tcW w:w="3000" w:type="dxa"/>
            <w:vAlign w:val="bottom"/>
          </w:tcPr>
          <w:p>
            <w:pPr>
              <w:ind w:left="2820"/>
              <w:spacing w:after="0"/>
              <w:rPr>
                <w:sz w:val="20"/>
                <w:szCs w:val="20"/>
                <w:color w:val="auto"/>
              </w:rPr>
            </w:pPr>
            <w:r>
              <w:rPr>
                <w:rFonts w:ascii="Arial" w:cs="Arial" w:eastAsia="Arial" w:hAnsi="Arial"/>
                <w:sz w:val="17"/>
                <w:szCs w:val="17"/>
                <w:color w:val="auto"/>
                <w:w w:val="84"/>
              </w:rPr>
              <w:t>33</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Revocation and Effect of Consents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33</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Notation on or Exchange of Securities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34</w:t>
            </w:r>
          </w:p>
        </w:tc>
      </w:tr>
      <w:tr>
        <w:trPr>
          <w:trHeight w:val="225"/>
        </w:trPr>
        <w:tc>
          <w:tcPr>
            <w:tcW w:w="8240" w:type="dxa"/>
            <w:vAlign w:val="bottom"/>
          </w:tcPr>
          <w:p>
            <w:pPr>
              <w:spacing w:after="0"/>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Trustee Protected</w:t>
            </w:r>
          </w:p>
        </w:tc>
        <w:tc>
          <w:tcPr>
            <w:tcW w:w="3000" w:type="dxa"/>
            <w:vAlign w:val="bottom"/>
          </w:tcPr>
          <w:p>
            <w:pPr>
              <w:ind w:left="2820"/>
              <w:spacing w:after="0"/>
              <w:rPr>
                <w:sz w:val="20"/>
                <w:szCs w:val="20"/>
                <w:color w:val="auto"/>
              </w:rPr>
            </w:pPr>
            <w:r>
              <w:rPr>
                <w:rFonts w:ascii="Arial" w:cs="Arial" w:eastAsia="Arial" w:hAnsi="Arial"/>
                <w:sz w:val="17"/>
                <w:szCs w:val="17"/>
                <w:color w:val="auto"/>
                <w:w w:val="84"/>
              </w:rPr>
              <w:t>34</w:t>
            </w:r>
          </w:p>
        </w:tc>
      </w:tr>
      <w:tr>
        <w:trPr>
          <w:trHeight w:val="354"/>
        </w:trPr>
        <w:tc>
          <w:tcPr>
            <w:tcW w:w="8240" w:type="dxa"/>
            <w:vAlign w:val="bottom"/>
          </w:tcPr>
          <w:p>
            <w:pPr>
              <w:jc w:val="center"/>
              <w:ind w:left="2914"/>
              <w:spacing w:after="0"/>
              <w:rPr>
                <w:sz w:val="20"/>
                <w:szCs w:val="20"/>
                <w:color w:val="auto"/>
              </w:rPr>
            </w:pPr>
            <w:r>
              <w:rPr>
                <w:rFonts w:ascii="Arial" w:cs="Arial" w:eastAsia="Arial" w:hAnsi="Arial"/>
                <w:sz w:val="17"/>
                <w:szCs w:val="17"/>
                <w:color w:val="auto"/>
              </w:rPr>
              <w:t>ARTICLE 10</w:t>
            </w:r>
          </w:p>
        </w:tc>
        <w:tc>
          <w:tcPr>
            <w:tcW w:w="3000" w:type="dxa"/>
            <w:vAlign w:val="bottom"/>
          </w:tcPr>
          <w:p>
            <w:pPr>
              <w:spacing w:after="0"/>
              <w:rPr>
                <w:sz w:val="24"/>
                <w:szCs w:val="24"/>
                <w:color w:val="auto"/>
              </w:rPr>
            </w:pPr>
          </w:p>
        </w:tc>
      </w:tr>
      <w:tr>
        <w:trPr>
          <w:trHeight w:val="225"/>
        </w:trPr>
        <w:tc>
          <w:tcPr>
            <w:tcW w:w="8240" w:type="dxa"/>
            <w:vAlign w:val="bottom"/>
          </w:tcPr>
          <w:p>
            <w:pPr>
              <w:jc w:val="center"/>
              <w:ind w:left="2934"/>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ubordination of</w:t>
            </w:r>
            <w:r>
              <w:rPr>
                <w:rFonts w:ascii="Arial" w:cs="Arial" w:eastAsia="Arial" w:hAnsi="Arial"/>
                <w:sz w:val="17"/>
                <w:szCs w:val="17"/>
                <w:color w:val="auto"/>
              </w:rPr>
              <w:t xml:space="preserve"> S</w:t>
            </w:r>
            <w:r>
              <w:rPr>
                <w:rFonts w:ascii="Arial" w:cs="Arial" w:eastAsia="Arial" w:hAnsi="Arial"/>
                <w:sz w:val="11"/>
                <w:szCs w:val="11"/>
                <w:color w:val="auto"/>
              </w:rPr>
              <w:t>ecurities</w:t>
            </w:r>
          </w:p>
        </w:tc>
        <w:tc>
          <w:tcPr>
            <w:tcW w:w="3000" w:type="dxa"/>
            <w:vAlign w:val="bottom"/>
          </w:tcPr>
          <w:p>
            <w:pPr>
              <w:spacing w:after="0"/>
              <w:rPr>
                <w:sz w:val="19"/>
                <w:szCs w:val="19"/>
                <w:color w:val="auto"/>
              </w:rPr>
            </w:pPr>
          </w:p>
        </w:tc>
      </w:tr>
      <w:tr>
        <w:trPr>
          <w:trHeight w:val="386"/>
        </w:trPr>
        <w:tc>
          <w:tcPr>
            <w:tcW w:w="8240" w:type="dxa"/>
            <w:vAlign w:val="bottom"/>
          </w:tcPr>
          <w:p>
            <w:pPr>
              <w:spacing w:after="0"/>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i w:val="1"/>
                <w:iCs w:val="1"/>
                <w:color w:val="auto"/>
              </w:rPr>
              <w:t>Agreement to Subordinate</w:t>
            </w:r>
          </w:p>
        </w:tc>
        <w:tc>
          <w:tcPr>
            <w:tcW w:w="3000" w:type="dxa"/>
            <w:vAlign w:val="bottom"/>
          </w:tcPr>
          <w:p>
            <w:pPr>
              <w:ind w:left="2820"/>
              <w:spacing w:after="0"/>
              <w:rPr>
                <w:sz w:val="20"/>
                <w:szCs w:val="20"/>
                <w:color w:val="auto"/>
              </w:rPr>
            </w:pPr>
            <w:r>
              <w:rPr>
                <w:rFonts w:ascii="Arial" w:cs="Arial" w:eastAsia="Arial" w:hAnsi="Arial"/>
                <w:sz w:val="17"/>
                <w:szCs w:val="17"/>
                <w:color w:val="auto"/>
                <w:w w:val="84"/>
              </w:rPr>
              <w:t>34</w:t>
            </w:r>
          </w:p>
        </w:tc>
      </w:tr>
      <w:tr>
        <w:trPr>
          <w:trHeight w:val="354"/>
        </w:trPr>
        <w:tc>
          <w:tcPr>
            <w:tcW w:w="8240" w:type="dxa"/>
            <w:vAlign w:val="bottom"/>
          </w:tcPr>
          <w:p>
            <w:pPr>
              <w:jc w:val="center"/>
              <w:ind w:left="2934"/>
              <w:spacing w:after="0"/>
              <w:rPr>
                <w:sz w:val="20"/>
                <w:szCs w:val="20"/>
                <w:color w:val="auto"/>
              </w:rPr>
            </w:pPr>
            <w:r>
              <w:rPr>
                <w:rFonts w:ascii="Arial" w:cs="Arial" w:eastAsia="Arial" w:hAnsi="Arial"/>
                <w:sz w:val="17"/>
                <w:szCs w:val="17"/>
                <w:color w:val="auto"/>
                <w:w w:val="98"/>
              </w:rPr>
              <w:t>ARTICLE 11</w:t>
            </w:r>
          </w:p>
        </w:tc>
        <w:tc>
          <w:tcPr>
            <w:tcW w:w="3000" w:type="dxa"/>
            <w:vAlign w:val="bottom"/>
          </w:tcPr>
          <w:p>
            <w:pPr>
              <w:spacing w:after="0"/>
              <w:rPr>
                <w:sz w:val="24"/>
                <w:szCs w:val="24"/>
                <w:color w:val="auto"/>
              </w:rPr>
            </w:pPr>
          </w:p>
        </w:tc>
      </w:tr>
      <w:tr>
        <w:trPr>
          <w:trHeight w:val="225"/>
        </w:trPr>
        <w:tc>
          <w:tcPr>
            <w:tcW w:w="8240" w:type="dxa"/>
            <w:vAlign w:val="bottom"/>
          </w:tcPr>
          <w:p>
            <w:pPr>
              <w:jc w:val="center"/>
              <w:ind w:left="2914"/>
              <w:spacing w:after="0"/>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iscellaneous</w:t>
            </w:r>
          </w:p>
        </w:tc>
        <w:tc>
          <w:tcPr>
            <w:tcW w:w="3000" w:type="dxa"/>
            <w:vAlign w:val="bottom"/>
          </w:tcPr>
          <w:p>
            <w:pPr>
              <w:spacing w:after="0"/>
              <w:rPr>
                <w:sz w:val="19"/>
                <w:szCs w:val="19"/>
                <w:color w:val="auto"/>
              </w:rPr>
            </w:pPr>
          </w:p>
        </w:tc>
      </w:tr>
      <w:tr>
        <w:trPr>
          <w:trHeight w:val="354"/>
        </w:trPr>
        <w:tc>
          <w:tcPr>
            <w:tcW w:w="8240" w:type="dxa"/>
            <w:vAlign w:val="bottom"/>
          </w:tcPr>
          <w:p>
            <w:pPr>
              <w:spacing w:after="0"/>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i w:val="1"/>
                <w:iCs w:val="1"/>
                <w:color w:val="auto"/>
              </w:rPr>
              <w:t>Trust Indenture Act Controls</w:t>
            </w:r>
          </w:p>
        </w:tc>
        <w:tc>
          <w:tcPr>
            <w:tcW w:w="3000" w:type="dxa"/>
            <w:vAlign w:val="bottom"/>
          </w:tcPr>
          <w:p>
            <w:pPr>
              <w:ind w:left="2820"/>
              <w:spacing w:after="0"/>
              <w:rPr>
                <w:sz w:val="20"/>
                <w:szCs w:val="20"/>
                <w:color w:val="auto"/>
              </w:rPr>
            </w:pPr>
            <w:r>
              <w:rPr>
                <w:rFonts w:ascii="Arial" w:cs="Arial" w:eastAsia="Arial" w:hAnsi="Arial"/>
                <w:sz w:val="17"/>
                <w:szCs w:val="17"/>
                <w:color w:val="auto"/>
                <w:w w:val="84"/>
              </w:rPr>
              <w:t>34</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Notices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34</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Communication by Holders with Other Holders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35</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i w:val="1"/>
                <w:iCs w:val="1"/>
                <w:color w:val="auto"/>
              </w:rPr>
              <w:t>Certificate and Opinion as to Conditions Precedent</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35</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i w:val="1"/>
                <w:iCs w:val="1"/>
                <w:color w:val="auto"/>
              </w:rPr>
              <w:t>Statements Required in Certificate or Opinion</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35</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i w:val="1"/>
                <w:iCs w:val="1"/>
                <w:color w:val="auto"/>
              </w:rPr>
              <w:t>Rules by Trustee and Agents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35</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i w:val="1"/>
                <w:iCs w:val="1"/>
                <w:color w:val="auto"/>
              </w:rPr>
              <w:t>Legal Holidays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35</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i w:val="1"/>
                <w:iCs w:val="1"/>
                <w:color w:val="auto"/>
              </w:rPr>
              <w:t>No Recourse Against Others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i w:val="1"/>
                <w:iCs w:val="1"/>
                <w:color w:val="auto"/>
              </w:rPr>
              <w:t>Counterparts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i w:val="1"/>
                <w:iCs w:val="1"/>
                <w:color w:val="auto"/>
              </w:rPr>
              <w:t>Governing Laws; Submission to Jurisdiction; Waiver of Jury Trial</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No Adverse Interpretation of Other Agreements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Successors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Severability</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i w:val="1"/>
                <w:iCs w:val="1"/>
                <w:color w:val="auto"/>
              </w:rPr>
              <w:t>Table of Contents, Headings, Etc</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11.15. </w:t>
            </w:r>
            <w:r>
              <w:rPr>
                <w:rFonts w:ascii="Arial" w:cs="Arial" w:eastAsia="Arial" w:hAnsi="Arial"/>
                <w:sz w:val="17"/>
                <w:szCs w:val="17"/>
                <w:i w:val="1"/>
                <w:iCs w:val="1"/>
                <w:color w:val="auto"/>
              </w:rPr>
              <w:t>Securities in a Foreign Currency</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36</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i w:val="1"/>
                <w:iCs w:val="1"/>
                <w:color w:val="auto"/>
              </w:rPr>
              <w:t>Judgment Currency</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37</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11.17. </w:t>
            </w:r>
            <w:r>
              <w:rPr>
                <w:rFonts w:ascii="Arial" w:cs="Arial" w:eastAsia="Arial" w:hAnsi="Arial"/>
                <w:sz w:val="17"/>
                <w:szCs w:val="17"/>
                <w:i w:val="1"/>
                <w:iCs w:val="1"/>
                <w:color w:val="auto"/>
              </w:rPr>
              <w:t>Acts of Holders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37</w:t>
            </w:r>
          </w:p>
        </w:tc>
      </w:tr>
      <w:tr>
        <w:trPr>
          <w:trHeight w:val="225"/>
        </w:trPr>
        <w:tc>
          <w:tcPr>
            <w:tcW w:w="8240" w:type="dxa"/>
            <w:vAlign w:val="bottom"/>
          </w:tcPr>
          <w:p>
            <w:pPr>
              <w:spacing w:after="0"/>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i w:val="1"/>
                <w:iCs w:val="1"/>
                <w:color w:val="auto"/>
              </w:rPr>
              <w:t>Force Majeure</w:t>
            </w:r>
          </w:p>
        </w:tc>
        <w:tc>
          <w:tcPr>
            <w:tcW w:w="3000" w:type="dxa"/>
            <w:vAlign w:val="bottom"/>
          </w:tcPr>
          <w:p>
            <w:pPr>
              <w:ind w:left="2820"/>
              <w:spacing w:after="0"/>
              <w:rPr>
                <w:sz w:val="20"/>
                <w:szCs w:val="20"/>
                <w:color w:val="auto"/>
              </w:rPr>
            </w:pPr>
            <w:r>
              <w:rPr>
                <w:rFonts w:ascii="Arial" w:cs="Arial" w:eastAsia="Arial" w:hAnsi="Arial"/>
                <w:sz w:val="17"/>
                <w:szCs w:val="17"/>
                <w:color w:val="auto"/>
                <w:w w:val="84"/>
              </w:rPr>
              <w:t>38</w:t>
            </w:r>
          </w:p>
        </w:tc>
      </w:tr>
      <w:tr>
        <w:trPr>
          <w:trHeight w:val="354"/>
        </w:trPr>
        <w:tc>
          <w:tcPr>
            <w:tcW w:w="8240" w:type="dxa"/>
            <w:vAlign w:val="bottom"/>
          </w:tcPr>
          <w:p>
            <w:pPr>
              <w:jc w:val="center"/>
              <w:ind w:left="2914"/>
              <w:spacing w:after="0"/>
              <w:rPr>
                <w:sz w:val="20"/>
                <w:szCs w:val="20"/>
                <w:color w:val="auto"/>
              </w:rPr>
            </w:pPr>
            <w:r>
              <w:rPr>
                <w:rFonts w:ascii="Arial" w:cs="Arial" w:eastAsia="Arial" w:hAnsi="Arial"/>
                <w:sz w:val="17"/>
                <w:szCs w:val="17"/>
                <w:color w:val="auto"/>
              </w:rPr>
              <w:t>ARTICLE 12</w:t>
            </w:r>
          </w:p>
        </w:tc>
        <w:tc>
          <w:tcPr>
            <w:tcW w:w="3000" w:type="dxa"/>
            <w:vAlign w:val="bottom"/>
          </w:tcPr>
          <w:p>
            <w:pPr>
              <w:spacing w:after="0"/>
              <w:rPr>
                <w:sz w:val="24"/>
                <w:szCs w:val="24"/>
                <w:color w:val="auto"/>
              </w:rPr>
            </w:pPr>
          </w:p>
        </w:tc>
      </w:tr>
      <w:tr>
        <w:trPr>
          <w:trHeight w:val="225"/>
        </w:trPr>
        <w:tc>
          <w:tcPr>
            <w:tcW w:w="8240" w:type="dxa"/>
            <w:vAlign w:val="bottom"/>
          </w:tcPr>
          <w:p>
            <w:pPr>
              <w:jc w:val="center"/>
              <w:ind w:left="2914"/>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inking</w:t>
            </w:r>
            <w:r>
              <w:rPr>
                <w:rFonts w:ascii="Arial" w:cs="Arial" w:eastAsia="Arial" w:hAnsi="Arial"/>
                <w:sz w:val="17"/>
                <w:szCs w:val="17"/>
                <w:color w:val="auto"/>
              </w:rPr>
              <w:t xml:space="preserve"> F</w:t>
            </w:r>
            <w:r>
              <w:rPr>
                <w:rFonts w:ascii="Arial" w:cs="Arial" w:eastAsia="Arial" w:hAnsi="Arial"/>
                <w:sz w:val="11"/>
                <w:szCs w:val="11"/>
                <w:color w:val="auto"/>
              </w:rPr>
              <w:t>unds</w:t>
            </w:r>
          </w:p>
        </w:tc>
        <w:tc>
          <w:tcPr>
            <w:tcW w:w="3000" w:type="dxa"/>
            <w:vAlign w:val="bottom"/>
          </w:tcPr>
          <w:p>
            <w:pPr>
              <w:spacing w:after="0"/>
              <w:rPr>
                <w:sz w:val="19"/>
                <w:szCs w:val="19"/>
                <w:color w:val="auto"/>
              </w:rPr>
            </w:pPr>
          </w:p>
        </w:tc>
      </w:tr>
      <w:tr>
        <w:trPr>
          <w:trHeight w:val="354"/>
        </w:trPr>
        <w:tc>
          <w:tcPr>
            <w:tcW w:w="8240" w:type="dxa"/>
            <w:vAlign w:val="bottom"/>
          </w:tcPr>
          <w:p>
            <w:pPr>
              <w:spacing w:after="0"/>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i w:val="1"/>
                <w:iCs w:val="1"/>
                <w:color w:val="auto"/>
              </w:rPr>
              <w:t>Applicability of Article</w:t>
            </w:r>
          </w:p>
        </w:tc>
        <w:tc>
          <w:tcPr>
            <w:tcW w:w="3000" w:type="dxa"/>
            <w:vAlign w:val="bottom"/>
          </w:tcPr>
          <w:p>
            <w:pPr>
              <w:ind w:left="2820"/>
              <w:spacing w:after="0"/>
              <w:rPr>
                <w:sz w:val="20"/>
                <w:szCs w:val="20"/>
                <w:color w:val="auto"/>
              </w:rPr>
            </w:pPr>
            <w:r>
              <w:rPr>
                <w:rFonts w:ascii="Arial" w:cs="Arial" w:eastAsia="Arial" w:hAnsi="Arial"/>
                <w:sz w:val="17"/>
                <w:szCs w:val="17"/>
                <w:color w:val="auto"/>
                <w:w w:val="84"/>
              </w:rPr>
              <w:t>38</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i w:val="1"/>
                <w:iCs w:val="1"/>
                <w:color w:val="auto"/>
              </w:rPr>
              <w:t>Satisfaction of Sinking Fund Payments with Securities</w:t>
            </w:r>
          </w:p>
        </w:tc>
        <w:tc>
          <w:tcPr>
            <w:tcW w:w="3000" w:type="dxa"/>
            <w:vAlign w:val="bottom"/>
          </w:tcPr>
          <w:p>
            <w:pPr>
              <w:ind w:left="2820"/>
              <w:spacing w:after="0" w:line="194" w:lineRule="exact"/>
              <w:rPr>
                <w:sz w:val="20"/>
                <w:szCs w:val="20"/>
                <w:color w:val="auto"/>
              </w:rPr>
            </w:pPr>
            <w:r>
              <w:rPr>
                <w:rFonts w:ascii="Arial" w:cs="Arial" w:eastAsia="Arial" w:hAnsi="Arial"/>
                <w:sz w:val="17"/>
                <w:szCs w:val="17"/>
                <w:color w:val="auto"/>
                <w:w w:val="84"/>
              </w:rPr>
              <w:t>39</w:t>
            </w:r>
          </w:p>
        </w:tc>
      </w:tr>
      <w:tr>
        <w:trPr>
          <w:trHeight w:val="225"/>
        </w:trPr>
        <w:tc>
          <w:tcPr>
            <w:tcW w:w="8240" w:type="dxa"/>
            <w:vAlign w:val="bottom"/>
          </w:tcPr>
          <w:p>
            <w:pPr>
              <w:spacing w:after="0"/>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i w:val="1"/>
                <w:iCs w:val="1"/>
                <w:color w:val="auto"/>
              </w:rPr>
              <w:t>Redemption of Securities for Sinking Fund</w:t>
            </w:r>
          </w:p>
        </w:tc>
        <w:tc>
          <w:tcPr>
            <w:tcW w:w="3000" w:type="dxa"/>
            <w:vAlign w:val="bottom"/>
          </w:tcPr>
          <w:p>
            <w:pPr>
              <w:ind w:left="2820"/>
              <w:spacing w:after="0"/>
              <w:rPr>
                <w:sz w:val="20"/>
                <w:szCs w:val="20"/>
                <w:color w:val="auto"/>
              </w:rPr>
            </w:pPr>
            <w:r>
              <w:rPr>
                <w:rFonts w:ascii="Arial" w:cs="Arial" w:eastAsia="Arial" w:hAnsi="Arial"/>
                <w:sz w:val="17"/>
                <w:szCs w:val="17"/>
                <w:color w:val="auto"/>
                <w:w w:val="84"/>
              </w:rPr>
              <w:t>39</w:t>
            </w:r>
          </w:p>
        </w:tc>
      </w:tr>
      <w:tr>
        <w:trPr>
          <w:trHeight w:val="386"/>
        </w:trPr>
        <w:tc>
          <w:tcPr>
            <w:tcW w:w="8240" w:type="dxa"/>
            <w:vAlign w:val="bottom"/>
          </w:tcPr>
          <w:p>
            <w:pPr>
              <w:ind w:left="620"/>
              <w:spacing w:after="0"/>
              <w:rPr>
                <w:sz w:val="20"/>
                <w:szCs w:val="20"/>
                <w:color w:val="auto"/>
              </w:rPr>
            </w:pPr>
            <w:r>
              <w:rPr>
                <w:rFonts w:ascii="Arial" w:cs="Arial" w:eastAsia="Arial" w:hAnsi="Arial"/>
                <w:sz w:val="17"/>
                <w:szCs w:val="17"/>
                <w:color w:val="auto"/>
              </w:rPr>
              <w:t>Reconciliation and tie between Trust Indenture Act of 1939 and Indenture, dated as of [___].</w:t>
            </w:r>
          </w:p>
        </w:tc>
        <w:tc>
          <w:tcPr>
            <w:tcW w:w="3000" w:type="dxa"/>
            <w:vAlign w:val="bottom"/>
          </w:tcPr>
          <w:p>
            <w:pPr>
              <w:spacing w:after="0"/>
              <w:rPr>
                <w:sz w:val="24"/>
                <w:szCs w:val="24"/>
                <w:color w:val="auto"/>
              </w:rPr>
            </w:pPr>
          </w:p>
        </w:tc>
      </w:tr>
      <w:tr>
        <w:trPr>
          <w:trHeight w:val="354"/>
        </w:trPr>
        <w:tc>
          <w:tcPr>
            <w:tcW w:w="8240" w:type="dxa"/>
            <w:vAlign w:val="bottom"/>
          </w:tcPr>
          <w:p>
            <w:pPr>
              <w:spacing w:after="0"/>
              <w:rPr>
                <w:sz w:val="20"/>
                <w:szCs w:val="20"/>
                <w:color w:val="auto"/>
              </w:rPr>
            </w:pPr>
            <w:r>
              <w:rPr>
                <w:rFonts w:ascii="Arial" w:cs="Arial" w:eastAsia="Arial" w:hAnsi="Arial"/>
                <w:sz w:val="17"/>
                <w:szCs w:val="17"/>
                <w:color w:val="auto"/>
              </w:rPr>
              <w:t>§ 310(a)(1)</w:t>
            </w:r>
          </w:p>
        </w:tc>
        <w:tc>
          <w:tcPr>
            <w:tcW w:w="3000" w:type="dxa"/>
            <w:vAlign w:val="bottom"/>
          </w:tcPr>
          <w:p>
            <w:pPr>
              <w:ind w:left="640"/>
              <w:spacing w:after="0"/>
              <w:rPr>
                <w:sz w:val="20"/>
                <w:szCs w:val="20"/>
                <w:color w:val="auto"/>
              </w:rPr>
            </w:pPr>
            <w:r>
              <w:rPr>
                <w:rFonts w:ascii="Arial" w:cs="Arial" w:eastAsia="Arial" w:hAnsi="Arial"/>
                <w:sz w:val="17"/>
                <w:szCs w:val="17"/>
                <w:color w:val="auto"/>
              </w:rPr>
              <w:t>‎7.10</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(a)(2)</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‎7.10</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(a)(3)</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Not Applicable</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(a)(4)</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Not Applicable</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(a)(5)</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‎7.10</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(b)</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‎7.10</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311(a)</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‎7.11</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(b)</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‎7.11</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312(a)</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‎2.06</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(b)</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‎11.03</w:t>
            </w:r>
          </w:p>
        </w:tc>
      </w:tr>
      <w:tr>
        <w:trPr>
          <w:trHeight w:val="193"/>
        </w:trPr>
        <w:tc>
          <w:tcPr>
            <w:tcW w:w="8240" w:type="dxa"/>
            <w:vAlign w:val="bottom"/>
          </w:tcPr>
          <w:p>
            <w:pPr>
              <w:ind w:left="460"/>
              <w:spacing w:after="0" w:line="194" w:lineRule="exact"/>
              <w:rPr>
                <w:sz w:val="20"/>
                <w:szCs w:val="20"/>
                <w:color w:val="auto"/>
              </w:rPr>
            </w:pPr>
            <w:r>
              <w:rPr>
                <w:rFonts w:ascii="Arial" w:cs="Arial" w:eastAsia="Arial" w:hAnsi="Arial"/>
                <w:sz w:val="17"/>
                <w:szCs w:val="17"/>
                <w:color w:val="auto"/>
              </w:rPr>
              <w:t>(c)</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‎11.03</w:t>
            </w:r>
          </w:p>
        </w:tc>
      </w:tr>
      <w:tr>
        <w:trPr>
          <w:trHeight w:val="193"/>
        </w:trPr>
        <w:tc>
          <w:tcPr>
            <w:tcW w:w="8240" w:type="dxa"/>
            <w:vAlign w:val="bottom"/>
          </w:tcPr>
          <w:p>
            <w:pPr>
              <w:spacing w:after="0" w:line="194" w:lineRule="exact"/>
              <w:rPr>
                <w:sz w:val="20"/>
                <w:szCs w:val="20"/>
                <w:color w:val="auto"/>
              </w:rPr>
            </w:pPr>
            <w:r>
              <w:rPr>
                <w:rFonts w:ascii="Arial" w:cs="Arial" w:eastAsia="Arial" w:hAnsi="Arial"/>
                <w:sz w:val="17"/>
                <w:szCs w:val="17"/>
                <w:color w:val="auto"/>
              </w:rPr>
              <w:t>§ 313(a)</w:t>
            </w:r>
          </w:p>
        </w:tc>
        <w:tc>
          <w:tcPr>
            <w:tcW w:w="3000" w:type="dxa"/>
            <w:vAlign w:val="bottom"/>
          </w:tcPr>
          <w:p>
            <w:pPr>
              <w:ind w:left="640"/>
              <w:spacing w:after="0" w:line="194" w:lineRule="exact"/>
              <w:rPr>
                <w:sz w:val="20"/>
                <w:szCs w:val="20"/>
                <w:color w:val="auto"/>
              </w:rPr>
            </w:pPr>
            <w:r>
              <w:rPr>
                <w:rFonts w:ascii="Arial" w:cs="Arial" w:eastAsia="Arial" w:hAnsi="Arial"/>
                <w:sz w:val="17"/>
                <w:szCs w:val="17"/>
                <w:color w:val="auto"/>
              </w:rPr>
              <w:t>‎7.06</w:t>
            </w:r>
          </w:p>
        </w:tc>
      </w:tr>
      <w:tr>
        <w:trPr>
          <w:trHeight w:val="225"/>
        </w:trPr>
        <w:tc>
          <w:tcPr>
            <w:tcW w:w="8240" w:type="dxa"/>
            <w:vAlign w:val="bottom"/>
          </w:tcPr>
          <w:p>
            <w:pPr>
              <w:ind w:left="460"/>
              <w:spacing w:after="0"/>
              <w:rPr>
                <w:sz w:val="20"/>
                <w:szCs w:val="20"/>
                <w:color w:val="auto"/>
              </w:rPr>
            </w:pPr>
            <w:r>
              <w:rPr>
                <w:rFonts w:ascii="Arial" w:cs="Arial" w:eastAsia="Arial" w:hAnsi="Arial"/>
                <w:sz w:val="17"/>
                <w:szCs w:val="17"/>
                <w:color w:val="auto"/>
              </w:rPr>
              <w:t>(b)(1)</w:t>
            </w:r>
          </w:p>
        </w:tc>
        <w:tc>
          <w:tcPr>
            <w:tcW w:w="3000" w:type="dxa"/>
            <w:vAlign w:val="bottom"/>
          </w:tcPr>
          <w:p>
            <w:pPr>
              <w:ind w:left="640"/>
              <w:spacing w:after="0"/>
              <w:rPr>
                <w:sz w:val="20"/>
                <w:szCs w:val="20"/>
                <w:color w:val="auto"/>
              </w:rPr>
            </w:pPr>
            <w:r>
              <w:rPr>
                <w:rFonts w:ascii="Arial" w:cs="Arial" w:eastAsia="Arial" w:hAnsi="Arial"/>
                <w:sz w:val="17"/>
                <w:szCs w:val="17"/>
                <w:color w:val="auto"/>
              </w:rPr>
              <w:t>‎7.06</w:t>
            </w:r>
          </w:p>
        </w:tc>
      </w:tr>
    </w:tbl>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8140" w:type="dxa"/>
            <w:vAlign w:val="bottom"/>
          </w:tcPr>
          <w:p>
            <w:pPr>
              <w:ind w:left="460"/>
              <w:spacing w:after="0"/>
              <w:rPr>
                <w:sz w:val="20"/>
                <w:szCs w:val="20"/>
                <w:color w:val="auto"/>
              </w:rPr>
            </w:pPr>
            <w:r>
              <w:rPr>
                <w:rFonts w:ascii="Arial" w:cs="Arial" w:eastAsia="Arial" w:hAnsi="Arial"/>
                <w:sz w:val="17"/>
                <w:szCs w:val="17"/>
                <w:color w:val="auto"/>
              </w:rPr>
              <w:t>(b)(2)</w:t>
            </w:r>
          </w:p>
        </w:tc>
        <w:tc>
          <w:tcPr>
            <w:tcW w:w="2140" w:type="dxa"/>
            <w:vAlign w:val="bottom"/>
          </w:tcPr>
          <w:p>
            <w:pPr>
              <w:ind w:left="740"/>
              <w:spacing w:after="0"/>
              <w:rPr>
                <w:sz w:val="20"/>
                <w:szCs w:val="20"/>
                <w:color w:val="auto"/>
              </w:rPr>
            </w:pPr>
            <w:r>
              <w:rPr>
                <w:rFonts w:ascii="Arial" w:cs="Arial" w:eastAsia="Arial" w:hAnsi="Arial"/>
                <w:sz w:val="17"/>
                <w:szCs w:val="17"/>
                <w:color w:val="auto"/>
              </w:rPr>
              <w:t>‎7.06</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(c)</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‎7.06</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(d)</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‎7.06</w:t>
            </w:r>
          </w:p>
        </w:tc>
      </w:tr>
      <w:tr>
        <w:trPr>
          <w:trHeight w:val="193"/>
        </w:trPr>
        <w:tc>
          <w:tcPr>
            <w:tcW w:w="8140" w:type="dxa"/>
            <w:vAlign w:val="bottom"/>
          </w:tcPr>
          <w:p>
            <w:pPr>
              <w:spacing w:after="0" w:line="194" w:lineRule="exact"/>
              <w:rPr>
                <w:sz w:val="20"/>
                <w:szCs w:val="20"/>
                <w:color w:val="auto"/>
              </w:rPr>
            </w:pPr>
            <w:r>
              <w:rPr>
                <w:rFonts w:ascii="Arial" w:cs="Arial" w:eastAsia="Arial" w:hAnsi="Arial"/>
                <w:sz w:val="17"/>
                <w:szCs w:val="17"/>
                <w:color w:val="auto"/>
              </w:rPr>
              <w:t>§ 314(a)</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‎4.02, ‎Section 4.04</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(b)</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Not Applicable</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(c)(1)</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‎11.04</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(c)(2)</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‎11.04</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(c)(3)</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Not Applicable</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(d)</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Not Applicable</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(e)</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‎11.05</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(f)</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Not Applicable</w:t>
            </w:r>
          </w:p>
        </w:tc>
      </w:tr>
      <w:tr>
        <w:trPr>
          <w:trHeight w:val="193"/>
        </w:trPr>
        <w:tc>
          <w:tcPr>
            <w:tcW w:w="8140" w:type="dxa"/>
            <w:vAlign w:val="bottom"/>
          </w:tcPr>
          <w:p>
            <w:pPr>
              <w:spacing w:after="0" w:line="194" w:lineRule="exact"/>
              <w:rPr>
                <w:sz w:val="20"/>
                <w:szCs w:val="20"/>
                <w:color w:val="auto"/>
              </w:rPr>
            </w:pPr>
            <w:r>
              <w:rPr>
                <w:rFonts w:ascii="Arial" w:cs="Arial" w:eastAsia="Arial" w:hAnsi="Arial"/>
                <w:sz w:val="17"/>
                <w:szCs w:val="17"/>
                <w:color w:val="auto"/>
              </w:rPr>
              <w:t>§ 315(a)</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‎7.01</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(b)</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‎7.05</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(c)</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‎7.01</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(d)</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‎7.01</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(e)</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‎6.14</w:t>
            </w:r>
          </w:p>
        </w:tc>
      </w:tr>
      <w:tr>
        <w:trPr>
          <w:trHeight w:val="193"/>
        </w:trPr>
        <w:tc>
          <w:tcPr>
            <w:tcW w:w="8140" w:type="dxa"/>
            <w:vAlign w:val="bottom"/>
          </w:tcPr>
          <w:p>
            <w:pPr>
              <w:spacing w:after="0" w:line="194" w:lineRule="exact"/>
              <w:rPr>
                <w:sz w:val="20"/>
                <w:szCs w:val="20"/>
                <w:color w:val="auto"/>
              </w:rPr>
            </w:pPr>
            <w:r>
              <w:rPr>
                <w:rFonts w:ascii="Arial" w:cs="Arial" w:eastAsia="Arial" w:hAnsi="Arial"/>
                <w:sz w:val="17"/>
                <w:szCs w:val="17"/>
                <w:color w:val="auto"/>
              </w:rPr>
              <w:t>§ 316(a)</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‎2.10</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(a)(1)(A)</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‎6.12</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(a)(1)(B)</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‎6.13</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(a)(2)</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Not Applicable</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(b)</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‎6.08</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(c)</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‎9.05</w:t>
            </w:r>
          </w:p>
        </w:tc>
      </w:tr>
      <w:tr>
        <w:trPr>
          <w:trHeight w:val="193"/>
        </w:trPr>
        <w:tc>
          <w:tcPr>
            <w:tcW w:w="8140" w:type="dxa"/>
            <w:vAlign w:val="bottom"/>
          </w:tcPr>
          <w:p>
            <w:pPr>
              <w:spacing w:after="0" w:line="194" w:lineRule="exact"/>
              <w:rPr>
                <w:sz w:val="20"/>
                <w:szCs w:val="20"/>
                <w:color w:val="auto"/>
              </w:rPr>
            </w:pPr>
            <w:r>
              <w:rPr>
                <w:rFonts w:ascii="Arial" w:cs="Arial" w:eastAsia="Arial" w:hAnsi="Arial"/>
                <w:sz w:val="17"/>
                <w:szCs w:val="17"/>
                <w:color w:val="auto"/>
              </w:rPr>
              <w:t>§ 317(a)(1)</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‎6.03</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(a)(2)</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‎6.04</w:t>
            </w:r>
          </w:p>
        </w:tc>
      </w:tr>
      <w:tr>
        <w:trPr>
          <w:trHeight w:val="193"/>
        </w:trPr>
        <w:tc>
          <w:tcPr>
            <w:tcW w:w="8140" w:type="dxa"/>
            <w:vAlign w:val="bottom"/>
          </w:tcPr>
          <w:p>
            <w:pPr>
              <w:ind w:left="460"/>
              <w:spacing w:after="0" w:line="194" w:lineRule="exact"/>
              <w:rPr>
                <w:sz w:val="20"/>
                <w:szCs w:val="20"/>
                <w:color w:val="auto"/>
              </w:rPr>
            </w:pPr>
            <w:r>
              <w:rPr>
                <w:rFonts w:ascii="Arial" w:cs="Arial" w:eastAsia="Arial" w:hAnsi="Arial"/>
                <w:sz w:val="17"/>
                <w:szCs w:val="17"/>
                <w:color w:val="auto"/>
              </w:rPr>
              <w:t>(b)</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‎2.05</w:t>
            </w:r>
          </w:p>
        </w:tc>
      </w:tr>
      <w:tr>
        <w:trPr>
          <w:trHeight w:val="193"/>
        </w:trPr>
        <w:tc>
          <w:tcPr>
            <w:tcW w:w="8140" w:type="dxa"/>
            <w:vAlign w:val="bottom"/>
          </w:tcPr>
          <w:p>
            <w:pPr>
              <w:spacing w:after="0" w:line="194" w:lineRule="exact"/>
              <w:rPr>
                <w:sz w:val="20"/>
                <w:szCs w:val="20"/>
                <w:color w:val="auto"/>
              </w:rPr>
            </w:pPr>
            <w:r>
              <w:rPr>
                <w:rFonts w:ascii="Arial" w:cs="Arial" w:eastAsia="Arial" w:hAnsi="Arial"/>
                <w:sz w:val="17"/>
                <w:szCs w:val="17"/>
                <w:color w:val="auto"/>
              </w:rPr>
              <w:t>§ 318(a)</w:t>
            </w:r>
          </w:p>
        </w:tc>
        <w:tc>
          <w:tcPr>
            <w:tcW w:w="2140" w:type="dxa"/>
            <w:vAlign w:val="bottom"/>
          </w:tcPr>
          <w:p>
            <w:pPr>
              <w:ind w:left="740"/>
              <w:spacing w:after="0" w:line="194" w:lineRule="exact"/>
              <w:rPr>
                <w:sz w:val="20"/>
                <w:szCs w:val="20"/>
                <w:color w:val="auto"/>
              </w:rPr>
            </w:pPr>
            <w:r>
              <w:rPr>
                <w:rFonts w:ascii="Arial" w:cs="Arial" w:eastAsia="Arial" w:hAnsi="Arial"/>
                <w:sz w:val="17"/>
                <w:szCs w:val="17"/>
                <w:color w:val="auto"/>
              </w:rPr>
              <w:t>‎11.01</w:t>
            </w:r>
          </w:p>
        </w:tc>
      </w:tr>
      <w:tr>
        <w:trPr>
          <w:trHeight w:val="225"/>
        </w:trPr>
        <w:tc>
          <w:tcPr>
            <w:tcW w:w="8140" w:type="dxa"/>
            <w:vAlign w:val="bottom"/>
          </w:tcPr>
          <w:p>
            <w:pPr>
              <w:spacing w:after="0"/>
              <w:rPr>
                <w:sz w:val="20"/>
                <w:szCs w:val="20"/>
                <w:color w:val="auto"/>
              </w:rPr>
            </w:pPr>
            <w:r>
              <w:rPr>
                <w:rFonts w:ascii="Arial" w:cs="Arial" w:eastAsia="Arial" w:hAnsi="Arial"/>
                <w:sz w:val="17"/>
                <w:szCs w:val="17"/>
                <w:color w:val="auto"/>
              </w:rPr>
              <w:t>Note: This reconciliation and tie shall not, for any purpose, be deemed to be part of the Indenture.</w:t>
            </w:r>
          </w:p>
        </w:tc>
        <w:tc>
          <w:tcPr>
            <w:tcW w:w="2140" w:type="dxa"/>
            <w:vAlign w:val="bottom"/>
          </w:tcPr>
          <w:p>
            <w:pPr>
              <w:spacing w:after="0"/>
              <w:rPr>
                <w:sz w:val="19"/>
                <w:szCs w:val="19"/>
                <w:color w:val="auto"/>
              </w:rPr>
            </w:pPr>
          </w:p>
        </w:tc>
      </w:tr>
    </w:tbl>
    <w:p>
      <w:pPr>
        <w:spacing w:after="0" w:line="26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280"/>
          </w:cols>
          <w:pgMar w:left="320" w:top="520" w:right="1299" w:bottom="1440" w:gutter="0" w:footer="0" w:header="0"/>
        </w:sectPr>
      </w:pPr>
    </w:p>
    <w:bookmarkStart w:id="58" w:name="page59"/>
    <w:bookmarkEnd w:id="58"/>
    <w:p>
      <w:pPr>
        <w:ind w:right="280" w:firstLine="618"/>
        <w:spacing w:after="0" w:line="286" w:lineRule="auto"/>
        <w:rPr>
          <w:sz w:val="20"/>
          <w:szCs w:val="20"/>
          <w:color w:val="auto"/>
        </w:rPr>
      </w:pPr>
      <w:r>
        <w:rPr>
          <w:rFonts w:ascii="Arial" w:cs="Arial" w:eastAsia="Arial" w:hAnsi="Arial"/>
          <w:sz w:val="17"/>
          <w:szCs w:val="17"/>
          <w:color w:val="auto"/>
        </w:rPr>
        <w:t>Indenture dated as of [___], between GH Research PLC, a public limited company incorporated under the laws of Ireland with registered number 691405 (the “</w:t>
      </w:r>
      <w:r>
        <w:rPr>
          <w:rFonts w:ascii="Arial" w:cs="Arial" w:eastAsia="Arial" w:hAnsi="Arial"/>
          <w:sz w:val="17"/>
          <w:szCs w:val="17"/>
          <w:b w:val="1"/>
          <w:bCs w:val="1"/>
          <w:color w:val="auto"/>
        </w:rPr>
        <w:t>Company</w:t>
      </w:r>
      <w:r>
        <w:rPr>
          <w:rFonts w:ascii="Arial" w:cs="Arial" w:eastAsia="Arial" w:hAnsi="Arial"/>
          <w:sz w:val="17"/>
          <w:szCs w:val="17"/>
          <w:color w:val="auto"/>
        </w:rPr>
        <w:t>”), and [___]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14" w:lineRule="exact"/>
        <w:rPr>
          <w:sz w:val="20"/>
          <w:szCs w:val="20"/>
          <w:color w:val="auto"/>
        </w:rPr>
      </w:pPr>
    </w:p>
    <w:p>
      <w:pPr>
        <w:ind w:right="240" w:firstLine="618"/>
        <w:spacing w:after="0" w:line="273" w:lineRule="auto"/>
        <w:rPr>
          <w:sz w:val="20"/>
          <w:szCs w:val="20"/>
          <w:color w:val="auto"/>
        </w:rPr>
      </w:pPr>
      <w:r>
        <w:rPr>
          <w:rFonts w:ascii="Arial" w:cs="Arial" w:eastAsia="Arial" w:hAnsi="Arial"/>
          <w:sz w:val="17"/>
          <w:szCs w:val="17"/>
          <w:color w:val="auto"/>
        </w:rPr>
        <w:t>Each party agrees as follows for the benefit of the other party and for the equal and ratable benefit of the Holders of the Securities issued under this Indenture.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efinition and</w:t>
      </w:r>
      <w:r>
        <w:rPr>
          <w:rFonts w:ascii="Arial" w:cs="Arial" w:eastAsia="Arial" w:hAnsi="Arial"/>
          <w:sz w:val="17"/>
          <w:szCs w:val="17"/>
          <w:color w:val="auto"/>
        </w:rPr>
        <w:t xml:space="preserve"> I</w:t>
      </w:r>
      <w:r>
        <w:rPr>
          <w:rFonts w:ascii="Arial" w:cs="Arial" w:eastAsia="Arial" w:hAnsi="Arial"/>
          <w:sz w:val="11"/>
          <w:szCs w:val="11"/>
          <w:color w:val="auto"/>
        </w:rPr>
        <w:t>ncorporation by</w:t>
      </w:r>
      <w:r>
        <w:rPr>
          <w:rFonts w:ascii="Arial" w:cs="Arial" w:eastAsia="Arial" w:hAnsi="Arial"/>
          <w:sz w:val="17"/>
          <w:szCs w:val="17"/>
          <w:color w:val="auto"/>
        </w:rPr>
        <w:t xml:space="preserve"> R</w:t>
      </w:r>
      <w:r>
        <w:rPr>
          <w:rFonts w:ascii="Arial" w:cs="Arial" w:eastAsia="Arial" w:hAnsi="Arial"/>
          <w:sz w:val="11"/>
          <w:szCs w:val="11"/>
          <w:color w:val="auto"/>
        </w:rPr>
        <w:t>eference</w:t>
      </w:r>
    </w:p>
    <w:p>
      <w:pPr>
        <w:spacing w:after="0" w:line="175"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189" w:lineRule="exact"/>
        <w:rPr>
          <w:sz w:val="20"/>
          <w:szCs w:val="20"/>
          <w:color w:val="auto"/>
        </w:rPr>
      </w:pPr>
    </w:p>
    <w:p>
      <w:pPr>
        <w:ind w:right="12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Amounts</w:t>
      </w:r>
      <w:r>
        <w:rPr>
          <w:rFonts w:ascii="Arial" w:cs="Arial" w:eastAsia="Arial" w:hAnsi="Arial"/>
          <w:sz w:val="17"/>
          <w:szCs w:val="17"/>
          <w:color w:val="auto"/>
        </w:rPr>
        <w:t>” means any additional amounts which are required hereby or by any Security, under circumstances specified herein or therein, to be paid by the Company in respect of certain taxes imposed on Holders specified therein and which are owing to such Holders.</w:t>
      </w:r>
    </w:p>
    <w:p>
      <w:pPr>
        <w:spacing w:after="0" w:line="130" w:lineRule="exact"/>
        <w:rPr>
          <w:sz w:val="20"/>
          <w:szCs w:val="20"/>
          <w:color w:val="auto"/>
        </w:rPr>
      </w:pPr>
    </w:p>
    <w:p>
      <w:pPr>
        <w:ind w:firstLine="618"/>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w:t>
      </w:r>
      <w:r>
        <w:rPr>
          <w:rFonts w:ascii="Arial" w:cs="Arial" w:eastAsia="Arial" w:hAnsi="Arial"/>
          <w:sz w:val="17"/>
          <w:szCs w:val="17"/>
          <w:color w:val="auto"/>
        </w:rPr>
        <w:t>” means any Registrar, Paying Agent, co-agent, co-registrar or Service Agent.</w:t>
      </w:r>
    </w:p>
    <w:p>
      <w:pPr>
        <w:spacing w:after="0" w:line="191" w:lineRule="exact"/>
        <w:rPr>
          <w:sz w:val="20"/>
          <w:szCs w:val="20"/>
          <w:color w:val="auto"/>
        </w:rPr>
      </w:pPr>
    </w:p>
    <w:p>
      <w:pPr>
        <w:ind w:right="20" w:firstLine="618"/>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Newspaper</w:t>
      </w:r>
      <w:r>
        <w:rPr>
          <w:rFonts w:ascii="Arial" w:cs="Arial" w:eastAsia="Arial" w:hAnsi="Arial"/>
          <w:sz w:val="17"/>
          <w:szCs w:val="17"/>
          <w:color w:val="auto"/>
        </w:rPr>
        <w:t>” means a newspaper in an official language of the country of publication customarily published at least once a day for at least five days in each calendar week and of general circulation in the place in connection with which the term is used. If it shall be impractical in the opinion of the Trustee to make any publication of any notice required hereby in an Authorized Newspaper, any publication or other notice in lieu thereof that is made or given by the Trustee shall constitute a sufficient publication of such notice.</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Bearer</w:t>
      </w:r>
      <w:r>
        <w:rPr>
          <w:rFonts w:ascii="Arial" w:cs="Arial" w:eastAsia="Arial" w:hAnsi="Arial"/>
          <w:sz w:val="17"/>
          <w:szCs w:val="17"/>
          <w:color w:val="auto"/>
        </w:rPr>
        <w:t>” means anyone in possession from time to time of a Bearer Security.</w:t>
      </w:r>
    </w:p>
    <w:p>
      <w:pPr>
        <w:spacing w:after="0" w:line="191" w:lineRule="exact"/>
        <w:rPr>
          <w:sz w:val="20"/>
          <w:szCs w:val="20"/>
          <w:color w:val="auto"/>
        </w:rPr>
      </w:pPr>
    </w:p>
    <w:p>
      <w:pPr>
        <w:ind w:right="6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Bearer Global Security</w:t>
      </w:r>
      <w:r>
        <w:rPr>
          <w:rFonts w:ascii="Arial" w:cs="Arial" w:eastAsia="Arial" w:hAnsi="Arial"/>
          <w:sz w:val="17"/>
          <w:szCs w:val="17"/>
          <w:color w:val="auto"/>
        </w:rPr>
        <w:t>” or “</w:t>
      </w:r>
      <w:r>
        <w:rPr>
          <w:rFonts w:ascii="Arial" w:cs="Arial" w:eastAsia="Arial" w:hAnsi="Arial"/>
          <w:sz w:val="17"/>
          <w:szCs w:val="17"/>
          <w:b w:val="1"/>
          <w:bCs w:val="1"/>
          <w:color w:val="auto"/>
        </w:rPr>
        <w:t>Bearer Global Securities</w:t>
      </w:r>
      <w:r>
        <w:rPr>
          <w:rFonts w:ascii="Arial" w:cs="Arial" w:eastAsia="Arial" w:hAnsi="Arial"/>
          <w:sz w:val="17"/>
          <w:szCs w:val="17"/>
          <w:color w:val="auto"/>
        </w:rPr>
        <w:t xml:space="preserve">” means a Bearer Security or Securities, as the case may be, in the form established pursuant to ‎Section 2.02 evidencing all or part of a Series of Bearer Securities, deposited with a common depositary for Euroclear Bank S.A./N.V., as operator of the Euroclear System and/or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Luxembourg.</w:t>
      </w:r>
    </w:p>
    <w:p>
      <w:pPr>
        <w:spacing w:after="0" w:line="147" w:lineRule="exact"/>
        <w:rPr>
          <w:sz w:val="20"/>
          <w:szCs w:val="20"/>
          <w:color w:val="auto"/>
        </w:rPr>
      </w:pPr>
    </w:p>
    <w:p>
      <w:pPr>
        <w:ind w:right="8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Bearer Security</w:t>
      </w:r>
      <w:r>
        <w:rPr>
          <w:rFonts w:ascii="Arial" w:cs="Arial" w:eastAsia="Arial" w:hAnsi="Arial"/>
          <w:sz w:val="17"/>
          <w:szCs w:val="17"/>
          <w:color w:val="auto"/>
        </w:rPr>
        <w:t>” means any Security, including any interest coupon appertaining thereto, that does not provide for the identification of the Holder thereof.</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 or any duly authorized committee thereof.</w:t>
      </w:r>
    </w:p>
    <w:p>
      <w:pPr>
        <w:spacing w:after="0" w:line="191" w:lineRule="exact"/>
        <w:rPr>
          <w:sz w:val="20"/>
          <w:szCs w:val="20"/>
          <w:color w:val="auto"/>
        </w:rPr>
      </w:pPr>
    </w:p>
    <w:p>
      <w:pPr>
        <w:ind w:right="62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47" w:lineRule="exact"/>
        <w:rPr>
          <w:sz w:val="20"/>
          <w:szCs w:val="20"/>
          <w:color w:val="auto"/>
        </w:rPr>
      </w:pPr>
    </w:p>
    <w:p>
      <w:pPr>
        <w:ind w:right="64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unless otherwise provided by Board Resolution, Officers’ Certificate or supplemental indenture hereto for a particular Series, each day which is not a Legal Holiday.</w:t>
      </w:r>
    </w:p>
    <w:p>
      <w:pPr>
        <w:spacing w:after="0" w:line="130" w:lineRule="exact"/>
        <w:rPr>
          <w:sz w:val="20"/>
          <w:szCs w:val="20"/>
          <w:color w:val="auto"/>
        </w:rPr>
      </w:pPr>
    </w:p>
    <w:p>
      <w:pPr>
        <w:jc w:val="both"/>
        <w:ind w:right="4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of any Person means any and all shares, interests, rights to purchase, warrants, options, participations or other equivalents of or interests in (however designated) equity of such Person, including any Preferred Stock, but excluding any debt securities convertible into such equity.</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party named as such above until a successor replaces it and thereafter means the successor.</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9" w:name="page60"/>
    <w:bookmarkEnd w:id="59"/>
    <w:p>
      <w:pPr>
        <w:ind w:right="64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order signed in the name of the Company by two Officers, one of whom must be the Company’s principal executive officer, principal financial officer, principal accounting officer, chief legal officer or a vice president of the Company.</w:t>
      </w:r>
    </w:p>
    <w:p>
      <w:pPr>
        <w:spacing w:after="0" w:line="130" w:lineRule="exact"/>
        <w:rPr>
          <w:sz w:val="20"/>
          <w:szCs w:val="20"/>
          <w:color w:val="auto"/>
        </w:rPr>
      </w:pPr>
    </w:p>
    <w:p>
      <w:pPr>
        <w:ind w:right="72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Request</w:t>
      </w:r>
      <w:r>
        <w:rPr>
          <w:rFonts w:ascii="Arial" w:cs="Arial" w:eastAsia="Arial" w:hAnsi="Arial"/>
          <w:sz w:val="17"/>
          <w:szCs w:val="17"/>
          <w:color w:val="auto"/>
        </w:rPr>
        <w:t>” means a written request signed in the name of the Company by its Chairman of the Board of Directors, Chief Executive Officer, Secretary, principal financial officer or any Vice President, and delivered to the Trustee.</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office of the Trustee at which at any particular time its corporate trust business relating to this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Indenture shall be principally administered, which as of the date of this Indenture shall be located at:</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[___].</w:t>
      </w:r>
    </w:p>
    <w:p>
      <w:pPr>
        <w:spacing w:after="0" w:line="189" w:lineRule="exact"/>
        <w:rPr>
          <w:sz w:val="20"/>
          <w:szCs w:val="20"/>
          <w:color w:val="auto"/>
        </w:rPr>
      </w:pPr>
    </w:p>
    <w:p>
      <w:pPr>
        <w:ind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w:t>
      </w:r>
      <w:r>
        <w:rPr>
          <w:rFonts w:ascii="Arial" w:cs="Arial" w:eastAsia="Arial" w:hAnsi="Arial"/>
          <w:sz w:val="17"/>
          <w:szCs w:val="17"/>
          <w:color w:val="auto"/>
        </w:rPr>
        <w:t>” of any Person as of any date means, without duplication, all indebtedness of such Person in respect of borrowed money, including all interest, fees and expenses owed in respect thereto (whether or not the recourse of the lender is to the whole of the assets of such Person or only to a portion thereof), or evidenced by bonds, notes, debentures or similar instruments.</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means any event which is, or after notice or passage of time would be, an Event of Default.</w:t>
      </w:r>
    </w:p>
    <w:p>
      <w:pPr>
        <w:spacing w:after="0" w:line="191" w:lineRule="exact"/>
        <w:rPr>
          <w:sz w:val="20"/>
          <w:szCs w:val="20"/>
          <w:color w:val="auto"/>
        </w:rPr>
      </w:pPr>
    </w:p>
    <w:p>
      <w:pPr>
        <w:ind w:right="240" w:firstLine="618"/>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the Securities of any Series issuable or issued in whole or in part in the form of one or more Registered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51" w:lineRule="exact"/>
        <w:rPr>
          <w:sz w:val="20"/>
          <w:szCs w:val="20"/>
          <w:color w:val="auto"/>
        </w:rPr>
      </w:pPr>
    </w:p>
    <w:p>
      <w:pPr>
        <w:ind w:right="18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Security</w:t>
      </w:r>
      <w:r>
        <w:rPr>
          <w:rFonts w:ascii="Arial" w:cs="Arial" w:eastAsia="Arial" w:hAnsi="Arial"/>
          <w:sz w:val="17"/>
          <w:szCs w:val="17"/>
          <w:color w:val="auto"/>
        </w:rPr>
        <w:t>” means any Security that provides for an amount less than the stated principal amount thereof to be due and payable upon declaration of acceleration of the maturity thereof pursuant to ‎Section 6.02.</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means the currency of the United States of America.</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w:t>
      </w:r>
    </w:p>
    <w:p>
      <w:pPr>
        <w:spacing w:after="0" w:line="191" w:lineRule="exact"/>
        <w:rPr>
          <w:sz w:val="20"/>
          <w:szCs w:val="20"/>
          <w:color w:val="auto"/>
        </w:rPr>
      </w:pPr>
    </w:p>
    <w:p>
      <w:pPr>
        <w:ind w:right="58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any currency or currency unit issued by a government other than the government of the United States of America.</w:t>
      </w:r>
    </w:p>
    <w:p>
      <w:pPr>
        <w:spacing w:after="0" w:line="130" w:lineRule="exact"/>
        <w:rPr>
          <w:sz w:val="20"/>
          <w:szCs w:val="20"/>
          <w:color w:val="auto"/>
        </w:rPr>
      </w:pPr>
    </w:p>
    <w:p>
      <w:pPr>
        <w:ind w:right="120" w:firstLine="618"/>
        <w:spacing w:after="0" w:line="24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Government Obligations</w:t>
      </w:r>
      <w:r>
        <w:rPr>
          <w:rFonts w:ascii="Arial" w:cs="Arial" w:eastAsia="Arial" w:hAnsi="Arial"/>
          <w:sz w:val="17"/>
          <w:szCs w:val="17"/>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Holder</w:t>
      </w:r>
      <w:r>
        <w:rPr>
          <w:rFonts w:ascii="Arial" w:cs="Arial" w:eastAsia="Arial" w:hAnsi="Arial"/>
          <w:sz w:val="17"/>
          <w:szCs w:val="17"/>
          <w:color w:val="auto"/>
        </w:rPr>
        <w:t>” or “</w:t>
      </w:r>
      <w:r>
        <w:rPr>
          <w:rFonts w:ascii="Arial" w:cs="Arial" w:eastAsia="Arial" w:hAnsi="Arial"/>
          <w:sz w:val="17"/>
          <w:szCs w:val="17"/>
          <w:b w:val="1"/>
          <w:bCs w:val="1"/>
          <w:color w:val="auto"/>
        </w:rPr>
        <w:t>Securityholder</w:t>
      </w:r>
      <w:r>
        <w:rPr>
          <w:rFonts w:ascii="Arial" w:cs="Arial" w:eastAsia="Arial" w:hAnsi="Arial"/>
          <w:sz w:val="17"/>
          <w:szCs w:val="17"/>
          <w:color w:val="auto"/>
        </w:rPr>
        <w:t>” means a Person in whose name a Security is registered in the Register or the holder of a Bearer Security.</w:t>
      </w:r>
    </w:p>
    <w:p>
      <w:pPr>
        <w:spacing w:after="0" w:line="191" w:lineRule="exact"/>
        <w:rPr>
          <w:sz w:val="20"/>
          <w:szCs w:val="20"/>
          <w:color w:val="auto"/>
        </w:rPr>
      </w:pPr>
    </w:p>
    <w:p>
      <w:pPr>
        <w:ind w:right="58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this Indenture as originally executed and delivered and as supplemented or amended from time to time and shall include the form and terms of particular Series of Securities established as contemplated hereunder.</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60" w:name="page61"/>
    <w:bookmarkEnd w:id="60"/>
    <w:p>
      <w:pPr>
        <w:ind w:right="2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w:t>
      </w:r>
      <w:r>
        <w:rPr>
          <w:rFonts w:ascii="Arial" w:cs="Arial" w:eastAsia="Arial" w:hAnsi="Arial"/>
          <w:sz w:val="17"/>
          <w:szCs w:val="17"/>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spacing w:after="0" w:line="147" w:lineRule="exact"/>
        <w:rPr>
          <w:sz w:val="20"/>
          <w:szCs w:val="20"/>
          <w:color w:val="auto"/>
        </w:rPr>
      </w:pPr>
    </w:p>
    <w:p>
      <w:pPr>
        <w:ind w:right="2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w:t>
      </w:r>
      <w:r>
        <w:rPr>
          <w:rFonts w:ascii="Arial" w:cs="Arial" w:eastAsia="Arial" w:hAnsi="Arial"/>
          <w:sz w:val="17"/>
          <w:szCs w:val="17"/>
          <w:color w:val="auto"/>
        </w:rPr>
        <w:t>” means a member of the board of directors, Chief Executive Officer, Chief Financial Officer, Chief Accounting Officer, Chief Legal Officer, President, any Executive or other Vice President, Treasurer, Secretary, any Assistant Treasurer or any Assistant Secretary of the Company.</w:t>
      </w:r>
    </w:p>
    <w:p>
      <w:pPr>
        <w:spacing w:after="0" w:line="130" w:lineRule="exact"/>
        <w:rPr>
          <w:sz w:val="20"/>
          <w:szCs w:val="20"/>
          <w:color w:val="auto"/>
        </w:rPr>
      </w:pPr>
    </w:p>
    <w:p>
      <w:pPr>
        <w:ind w:right="2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two Officers, one of whom must be the Company’s principal executive officer, principal financial officer or principal accounting officer.</w:t>
      </w:r>
    </w:p>
    <w:p>
      <w:pPr>
        <w:spacing w:after="0" w:line="130" w:lineRule="exact"/>
        <w:rPr>
          <w:sz w:val="20"/>
          <w:szCs w:val="20"/>
          <w:color w:val="auto"/>
        </w:rPr>
      </w:pPr>
    </w:p>
    <w:p>
      <w:pPr>
        <w:ind w:right="48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 written opinion of legal counsel who is reasonably acceptable to the Trustee. The counsel may be an employee of or counsel to the Company or the Trustee.</w:t>
      </w:r>
    </w:p>
    <w:p>
      <w:pPr>
        <w:spacing w:after="0" w:line="130" w:lineRule="exact"/>
        <w:rPr>
          <w:sz w:val="20"/>
          <w:szCs w:val="20"/>
          <w:color w:val="auto"/>
        </w:rPr>
      </w:pPr>
    </w:p>
    <w:p>
      <w:pPr>
        <w:ind w:right="36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joint venture, association, limited liability company, joint-stock company, trust, unincorporated organization or government or any agency or political subdivision thereof.</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Place of Payment</w:t>
      </w:r>
      <w:r>
        <w:rPr>
          <w:rFonts w:ascii="Arial" w:cs="Arial" w:eastAsia="Arial" w:hAnsi="Arial"/>
          <w:sz w:val="17"/>
          <w:szCs w:val="17"/>
          <w:color w:val="auto"/>
        </w:rPr>
        <w:t>,” when used with respect to the Securities of any Series, means the place or places specified in accordance with</w:t>
      </w:r>
    </w:p>
    <w:p>
      <w:pPr>
        <w:spacing w:after="0" w:line="16"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Section‎ 2.02 where the principal of and any premium and interest on the Securities of that Series are payable, or if not so specified, in accordance with ‎Section 4.06.</w:t>
      </w:r>
    </w:p>
    <w:p>
      <w:pPr>
        <w:spacing w:after="0" w:line="148" w:lineRule="exact"/>
        <w:rPr>
          <w:sz w:val="20"/>
          <w:szCs w:val="20"/>
          <w:color w:val="auto"/>
        </w:rPr>
      </w:pPr>
    </w:p>
    <w:p>
      <w:pPr>
        <w:ind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Stock</w:t>
      </w:r>
      <w:r>
        <w:rPr>
          <w:rFonts w:ascii="Arial" w:cs="Arial" w:eastAsia="Arial" w:hAnsi="Arial"/>
          <w:sz w:val="17"/>
          <w:szCs w:val="17"/>
          <w:color w:val="auto"/>
        </w:rPr>
        <w:t>,”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147" w:lineRule="exact"/>
        <w:rPr>
          <w:sz w:val="20"/>
          <w:szCs w:val="20"/>
          <w:color w:val="auto"/>
        </w:rPr>
      </w:pPr>
    </w:p>
    <w:p>
      <w:pPr>
        <w:ind w:right="2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w:t>
      </w:r>
      <w:r>
        <w:rPr>
          <w:rFonts w:ascii="Arial" w:cs="Arial" w:eastAsia="Arial" w:hAnsi="Arial"/>
          <w:sz w:val="17"/>
          <w:szCs w:val="17"/>
          <w:color w:val="auto"/>
        </w:rPr>
        <w:t>” of a Security means the principal of the Security plus, when appropriate, the premium, if any, on, and any Additional Amounts in respect of, the Security.</w:t>
      </w:r>
    </w:p>
    <w:p>
      <w:pPr>
        <w:spacing w:after="0" w:line="130" w:lineRule="exact"/>
        <w:rPr>
          <w:sz w:val="20"/>
          <w:szCs w:val="20"/>
          <w:color w:val="auto"/>
        </w:rPr>
      </w:pPr>
    </w:p>
    <w:p>
      <w:pPr>
        <w:ind w:right="28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Global Security</w:t>
      </w:r>
      <w:r>
        <w:rPr>
          <w:rFonts w:ascii="Arial" w:cs="Arial" w:eastAsia="Arial" w:hAnsi="Arial"/>
          <w:sz w:val="17"/>
          <w:szCs w:val="17"/>
          <w:color w:val="auto"/>
        </w:rPr>
        <w:t>” or “</w:t>
      </w:r>
      <w:r>
        <w:rPr>
          <w:rFonts w:ascii="Arial" w:cs="Arial" w:eastAsia="Arial" w:hAnsi="Arial"/>
          <w:sz w:val="17"/>
          <w:szCs w:val="17"/>
          <w:b w:val="1"/>
          <w:bCs w:val="1"/>
          <w:color w:val="auto"/>
        </w:rPr>
        <w:t>Registered Global Securities</w:t>
      </w:r>
      <w:r>
        <w:rPr>
          <w:rFonts w:ascii="Arial" w:cs="Arial" w:eastAsia="Arial" w:hAnsi="Arial"/>
          <w:sz w:val="17"/>
          <w:szCs w:val="17"/>
          <w:color w:val="auto"/>
        </w:rPr>
        <w:t>” means a Security or Securities, as the case may be, in the form established pursuant to ‎Section 2.02 evidencing all or part of a Series of Securities, issued to the Depositary for such Series or its nominee, and registered in the name of such Depositary or nominee.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Securities</w:t>
      </w:r>
      <w:r>
        <w:rPr>
          <w:rFonts w:ascii="Arial" w:cs="Arial" w:eastAsia="Arial" w:hAnsi="Arial"/>
          <w:sz w:val="17"/>
          <w:szCs w:val="17"/>
          <w:color w:val="auto"/>
        </w:rPr>
        <w:t>” means any Security registered on the Register of the Company.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w:t>
      </w:r>
    </w:p>
    <w:p>
      <w:pPr>
        <w:spacing w:after="0" w:line="191" w:lineRule="exact"/>
        <w:rPr>
          <w:sz w:val="20"/>
          <w:szCs w:val="20"/>
          <w:color w:val="auto"/>
        </w:rPr>
      </w:pPr>
    </w:p>
    <w:p>
      <w:pPr>
        <w:ind w:right="14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w:t>
      </w:r>
      <w:r>
        <w:rPr>
          <w:rFonts w:ascii="Arial" w:cs="Arial" w:eastAsia="Arial" w:hAnsi="Arial"/>
          <w:sz w:val="17"/>
          <w:szCs w:val="17"/>
          <w:color w:val="auto"/>
        </w:rPr>
        <w:t>” means the debentures, notes or other debt instruments of the Company of any Series authenticated and delivered under this Indenture.</w:t>
      </w:r>
    </w:p>
    <w:p>
      <w:pPr>
        <w:spacing w:after="0" w:line="130" w:lineRule="exact"/>
        <w:rPr>
          <w:sz w:val="20"/>
          <w:szCs w:val="20"/>
          <w:color w:val="auto"/>
        </w:rPr>
      </w:pPr>
    </w:p>
    <w:p>
      <w:pPr>
        <w:ind w:right="22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and the rules and regulations promulgated thereunder, as in effect from time to time.</w:t>
      </w:r>
    </w:p>
    <w:p>
      <w:pPr>
        <w:spacing w:after="0" w:line="130" w:lineRule="exact"/>
        <w:rPr>
          <w:sz w:val="20"/>
          <w:szCs w:val="20"/>
          <w:color w:val="auto"/>
        </w:rPr>
      </w:pPr>
    </w:p>
    <w:p>
      <w:pPr>
        <w:ind w:right="60" w:firstLine="618"/>
        <w:spacing w:after="0" w:line="24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Debt</w:t>
      </w:r>
      <w:r>
        <w:rPr>
          <w:rFonts w:ascii="Arial" w:cs="Arial" w:eastAsia="Arial" w:hAnsi="Arial"/>
          <w:sz w:val="17"/>
          <w:szCs w:val="17"/>
          <w:color w:val="auto"/>
        </w:rPr>
        <w:t>” means the principal of, premium, if any, unpaid interest, and all fees and other amounts payable in connection with the following, whether outstanding on the date hereof or thereafter created, incurred, assumed or guaranteed, on (x) the Debt of the Company, for money borrowed other than (a) any Debt of the Company which when incurred and without respect to any election under Section 1111(b) of the Federal Bankruptcy Code, was without recourse to the Company, (b) any Debt of the Company to any of its Subsidiaries, (c) Debt to any employee of the Company, (d) any liability for taxes and (e) Trade Payables, unless the instrument creating or evidencing the same or pursuant to which the same is outstanding provides that such Debt is not senior or prior in right of payment to the Securities, (y) all obligations of the Company under interest rate, currency and commodity swaps, caps, floors, collars, hedge arrangements, forward contracts or similar agreements or arrangements and (z) renewals, extensions, modifications and refundings of any such Debt. This definition may be modified or superseded by a supplemental indenture.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80"/>
          </w:cols>
          <w:pgMar w:left="320" w:top="520" w:right="399" w:bottom="1440" w:gutter="0" w:footer="0" w:header="0"/>
        </w:sectPr>
      </w:pPr>
    </w:p>
    <w:bookmarkStart w:id="61" w:name="page62"/>
    <w:bookmarkEnd w:id="61"/>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Securities</w:t>
      </w:r>
      <w:r>
        <w:rPr>
          <w:rFonts w:ascii="Arial" w:cs="Arial" w:eastAsia="Arial" w:hAnsi="Arial"/>
          <w:sz w:val="17"/>
          <w:szCs w:val="17"/>
          <w:color w:val="auto"/>
        </w:rPr>
        <w:t>” means Securities other than Subordinated Securities.</w:t>
      </w:r>
    </w:p>
    <w:p>
      <w:pPr>
        <w:spacing w:after="0" w:line="191" w:lineRule="exact"/>
        <w:rPr>
          <w:sz w:val="20"/>
          <w:szCs w:val="20"/>
          <w:color w:val="auto"/>
        </w:rPr>
      </w:pPr>
    </w:p>
    <w:p>
      <w:pPr>
        <w:ind w:right="20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w:t>
      </w:r>
      <w:r>
        <w:rPr>
          <w:rFonts w:ascii="Arial" w:cs="Arial" w:eastAsia="Arial" w:hAnsi="Arial"/>
          <w:sz w:val="17"/>
          <w:szCs w:val="17"/>
          <w:color w:val="auto"/>
        </w:rPr>
        <w:t>” or “</w:t>
      </w:r>
      <w:r>
        <w:rPr>
          <w:rFonts w:ascii="Arial" w:cs="Arial" w:eastAsia="Arial" w:hAnsi="Arial"/>
          <w:sz w:val="17"/>
          <w:szCs w:val="17"/>
          <w:b w:val="1"/>
          <w:bCs w:val="1"/>
          <w:color w:val="auto"/>
        </w:rPr>
        <w:t>Series of Securities</w:t>
      </w:r>
      <w:r>
        <w:rPr>
          <w:rFonts w:ascii="Arial" w:cs="Arial" w:eastAsia="Arial" w:hAnsi="Arial"/>
          <w:sz w:val="17"/>
          <w:szCs w:val="17"/>
          <w:color w:val="auto"/>
        </w:rPr>
        <w:t>” means each series of debentures, notes or other debt instruments of the Company created pursuant to Sections 2‎.01 and 2‎.02 hereof.</w:t>
      </w:r>
    </w:p>
    <w:p>
      <w:pPr>
        <w:spacing w:after="0" w:line="130" w:lineRule="exact"/>
        <w:rPr>
          <w:sz w:val="20"/>
          <w:szCs w:val="20"/>
          <w:color w:val="auto"/>
        </w:rPr>
      </w:pPr>
    </w:p>
    <w:p>
      <w:pPr>
        <w:ind w:right="38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(without regard for any provisions for acceleration, redemption prepayment or otherwise).</w:t>
      </w:r>
    </w:p>
    <w:p>
      <w:pPr>
        <w:spacing w:after="0" w:line="147" w:lineRule="exact"/>
        <w:rPr>
          <w:sz w:val="20"/>
          <w:szCs w:val="20"/>
          <w:color w:val="auto"/>
        </w:rPr>
      </w:pPr>
    </w:p>
    <w:p>
      <w:pPr>
        <w:ind w:right="6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Securities</w:t>
      </w:r>
      <w:r>
        <w:rPr>
          <w:rFonts w:ascii="Arial" w:cs="Arial" w:eastAsia="Arial" w:hAnsi="Arial"/>
          <w:sz w:val="17"/>
          <w:szCs w:val="17"/>
          <w:color w:val="auto"/>
        </w:rPr>
        <w:t>” means Securities that by the terms established pursuant to Section‎ 2.02(i) are subordinated in right of payment to Senior Debt of the Company.</w:t>
      </w:r>
    </w:p>
    <w:p>
      <w:pPr>
        <w:spacing w:after="0" w:line="130" w:lineRule="exact"/>
        <w:rPr>
          <w:sz w:val="20"/>
          <w:szCs w:val="20"/>
          <w:color w:val="auto"/>
        </w:rPr>
      </w:pPr>
    </w:p>
    <w:p>
      <w:pPr>
        <w:ind w:right="36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Subordination Provisions</w:t>
      </w:r>
      <w:r>
        <w:rPr>
          <w:rFonts w:ascii="Arial" w:cs="Arial" w:eastAsia="Arial" w:hAnsi="Arial"/>
          <w:sz w:val="17"/>
          <w:szCs w:val="17"/>
          <w:color w:val="auto"/>
        </w:rPr>
        <w:t>,” when used with respect to the Subordinated Securities of any Series, shall have the meaning established pursuant to ‎Section 2.02(i) with respect to the Subordinated Securities of such Series.</w:t>
      </w:r>
    </w:p>
    <w:p>
      <w:pPr>
        <w:spacing w:after="0" w:line="130" w:lineRule="exact"/>
        <w:rPr>
          <w:sz w:val="20"/>
          <w:szCs w:val="20"/>
          <w:color w:val="auto"/>
        </w:rPr>
      </w:pPr>
    </w:p>
    <w:p>
      <w:pPr>
        <w:ind w:right="260" w:firstLine="618"/>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any Person means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w:t>
      </w:r>
    </w:p>
    <w:p>
      <w:pPr>
        <w:spacing w:after="0" w:line="151" w:lineRule="exact"/>
        <w:rPr>
          <w:sz w:val="20"/>
          <w:szCs w:val="20"/>
          <w:color w:val="auto"/>
        </w:rPr>
      </w:pPr>
    </w:p>
    <w:p>
      <w:pPr>
        <w:jc w:val="both"/>
        <w:ind w:right="4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TIA</w:t>
      </w:r>
      <w:r>
        <w:rPr>
          <w:rFonts w:ascii="Arial" w:cs="Arial" w:eastAsia="Arial" w:hAnsi="Arial"/>
          <w:sz w:val="17"/>
          <w:szCs w:val="17"/>
          <w:color w:val="auto"/>
        </w:rPr>
        <w:t>” means the Trust Indenture Act of 1939 (15 U.S. Code §§ 77aaa-77bbbb) as in effect on the date of this Indenture; provided, however, that in the event the Trust Indenture Act of 1939 is amended after such date, “</w:t>
      </w:r>
      <w:r>
        <w:rPr>
          <w:rFonts w:ascii="Arial" w:cs="Arial" w:eastAsia="Arial" w:hAnsi="Arial"/>
          <w:sz w:val="17"/>
          <w:szCs w:val="17"/>
          <w:b w:val="1"/>
          <w:bCs w:val="1"/>
          <w:color w:val="auto"/>
        </w:rPr>
        <w:t>TIA</w:t>
      </w:r>
      <w:r>
        <w:rPr>
          <w:rFonts w:ascii="Arial" w:cs="Arial" w:eastAsia="Arial" w:hAnsi="Arial"/>
          <w:sz w:val="17"/>
          <w:szCs w:val="17"/>
          <w:color w:val="auto"/>
        </w:rPr>
        <w:t>” means, to the extent required by any such amendment, the Trust Indenture Act of 1939 as so amended.</w:t>
      </w:r>
    </w:p>
    <w:p>
      <w:pPr>
        <w:spacing w:after="0" w:line="147" w:lineRule="exact"/>
        <w:rPr>
          <w:sz w:val="20"/>
          <w:szCs w:val="20"/>
          <w:color w:val="auto"/>
        </w:rPr>
      </w:pPr>
    </w:p>
    <w:p>
      <w:pPr>
        <w:ind w:right="68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 Payables</w:t>
      </w:r>
      <w:r>
        <w:rPr>
          <w:rFonts w:ascii="Arial" w:cs="Arial" w:eastAsia="Arial" w:hAnsi="Arial"/>
          <w:sz w:val="17"/>
          <w:szCs w:val="17"/>
          <w:color w:val="auto"/>
        </w:rPr>
        <w:t>” means accounts payable or any other Debt or monetary obligations to trade creditors created or assumed by the Company or any Subsidiary of the Company in the ordinary course of business in connection with the receipt of materials or services.</w:t>
      </w:r>
    </w:p>
    <w:p>
      <w:pPr>
        <w:spacing w:after="0" w:line="130" w:lineRule="exact"/>
        <w:rPr>
          <w:sz w:val="20"/>
          <w:szCs w:val="20"/>
          <w:color w:val="auto"/>
        </w:rPr>
      </w:pPr>
    </w:p>
    <w:p>
      <w:pPr>
        <w:ind w:right="460" w:firstLine="61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 Officer</w:t>
      </w:r>
      <w:r>
        <w:rPr>
          <w:rFonts w:ascii="Arial" w:cs="Arial" w:eastAsia="Arial" w:hAnsi="Arial"/>
          <w:sz w:val="17"/>
          <w:szCs w:val="17"/>
          <w:color w:val="auto"/>
        </w:rPr>
        <w:t>” means any officer within the Corporate Trust Office of the Trustee with direct responsibility for the administration of this Indenture.</w:t>
      </w:r>
    </w:p>
    <w:p>
      <w:pPr>
        <w:spacing w:after="0" w:line="130" w:lineRule="exact"/>
        <w:rPr>
          <w:sz w:val="20"/>
          <w:szCs w:val="20"/>
          <w:color w:val="auto"/>
        </w:rPr>
      </w:pPr>
    </w:p>
    <w:p>
      <w:pPr>
        <w:ind w:right="180" w:firstLine="618"/>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Person named as the “</w:t>
      </w:r>
      <w:r>
        <w:rPr>
          <w:rFonts w:ascii="Arial" w:cs="Arial" w:eastAsia="Arial" w:hAnsi="Arial"/>
          <w:sz w:val="17"/>
          <w:szCs w:val="17"/>
          <w:b w:val="1"/>
          <w:bCs w:val="1"/>
          <w:color w:val="auto"/>
        </w:rPr>
        <w:t>Trustee</w:t>
      </w:r>
      <w:r>
        <w:rPr>
          <w:rFonts w:ascii="Arial" w:cs="Arial" w:eastAsia="Arial" w:hAnsi="Arial"/>
          <w:sz w:val="17"/>
          <w:szCs w:val="17"/>
          <w:color w:val="auto"/>
        </w:rPr>
        <w:t>”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51" w:lineRule="exact"/>
        <w:rPr>
          <w:sz w:val="20"/>
          <w:szCs w:val="20"/>
          <w:color w:val="auto"/>
        </w:rPr>
      </w:pPr>
    </w:p>
    <w:p>
      <w:pPr>
        <w:ind w:right="24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Government Obligations</w:t>
      </w:r>
      <w:r>
        <w:rPr>
          <w:rFonts w:ascii="Arial" w:cs="Arial" w:eastAsia="Arial" w:hAnsi="Arial"/>
          <w:sz w:val="17"/>
          <w:szCs w:val="17"/>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149"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7"/>
          <w:szCs w:val="17"/>
          <w:i w:val="1"/>
          <w:iCs w:val="1"/>
          <w:color w:val="auto"/>
        </w:rPr>
        <w:t>Other Definitions</w:t>
      </w:r>
      <w:r>
        <w:rPr>
          <w:rFonts w:ascii="Arial" w:cs="Arial" w:eastAsia="Arial" w:hAnsi="Arial"/>
          <w:sz w:val="17"/>
          <w:szCs w:val="17"/>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vMerge w:val="restart"/>
          </w:tcPr>
          <w:p>
            <w:pPr>
              <w:spacing w:after="0"/>
              <w:rPr>
                <w:sz w:val="20"/>
                <w:szCs w:val="20"/>
                <w:color w:val="auto"/>
              </w:rPr>
            </w:pPr>
            <w:r>
              <w:rPr>
                <w:rFonts w:ascii="Arial" w:cs="Arial" w:eastAsia="Arial" w:hAnsi="Arial"/>
                <w:sz w:val="17"/>
                <w:szCs w:val="17"/>
                <w:b w:val="1"/>
                <w:bCs w:val="1"/>
                <w:color w:val="auto"/>
              </w:rPr>
              <w:t>Term</w:t>
            </w:r>
          </w:p>
        </w:tc>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7"/>
                <w:szCs w:val="17"/>
                <w:b w:val="1"/>
                <w:bCs w:val="1"/>
                <w:color w:val="auto"/>
              </w:rPr>
              <w:t>Defined in Section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180" w:type="dxa"/>
            <w:vAlign w:val="bottom"/>
            <w:tcBorders>
              <w:bottom w:val="single" w:sz="8" w:color="auto"/>
            </w:tcBorders>
            <w:vMerge w:val="continue"/>
          </w:tcPr>
          <w:p>
            <w:pPr>
              <w:spacing w:after="0"/>
              <w:rPr>
                <w:sz w:val="14"/>
                <w:szCs w:val="14"/>
                <w:color w:val="auto"/>
              </w:rPr>
            </w:pPr>
          </w:p>
        </w:tc>
        <w:tc>
          <w:tcPr>
            <w:tcW w:w="5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line="167"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Law</w:t>
            </w:r>
            <w:r>
              <w:rPr>
                <w:rFonts w:ascii="Arial" w:cs="Arial" w:eastAsia="Arial" w:hAnsi="Arial"/>
                <w:sz w:val="17"/>
                <w:szCs w:val="17"/>
                <w:color w:val="auto"/>
              </w:rPr>
              <w:t>”</w:t>
            </w: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line="167" w:lineRule="exact"/>
              <w:rPr>
                <w:sz w:val="20"/>
                <w:szCs w:val="20"/>
                <w:color w:val="auto"/>
              </w:rPr>
            </w:pPr>
            <w:r>
              <w:rPr>
                <w:rFonts w:ascii="Arial" w:cs="Arial" w:eastAsia="Arial" w:hAnsi="Arial"/>
                <w:sz w:val="17"/>
                <w:szCs w:val="17"/>
                <w:color w:val="auto"/>
              </w:rPr>
              <w:t>‎6.01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Custodian</w:t>
            </w:r>
            <w:r>
              <w:rPr>
                <w:rFonts w:ascii="Arial" w:cs="Arial" w:eastAsia="Arial" w:hAnsi="Arial"/>
                <w:sz w:val="17"/>
                <w:szCs w:val="17"/>
                <w:color w:val="auto"/>
              </w:rPr>
              <w:t>”</w:t>
            </w: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Arial" w:cs="Arial" w:eastAsia="Arial" w:hAnsi="Arial"/>
                <w:sz w:val="17"/>
                <w:szCs w:val="17"/>
                <w:color w:val="auto"/>
              </w:rPr>
              <w:t>‎6.01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w:t>
            </w: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Arial" w:cs="Arial" w:eastAsia="Arial" w:hAnsi="Arial"/>
                <w:sz w:val="17"/>
                <w:szCs w:val="17"/>
                <w:color w:val="auto"/>
              </w:rPr>
              <w:t>‎6.01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Judgment Currency</w:t>
            </w:r>
            <w:r>
              <w:rPr>
                <w:rFonts w:ascii="Arial" w:cs="Arial" w:eastAsia="Arial" w:hAnsi="Arial"/>
                <w:sz w:val="17"/>
                <w:szCs w:val="17"/>
                <w:color w:val="auto"/>
              </w:rPr>
              <w:t>”</w:t>
            </w: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Arial" w:cs="Arial" w:eastAsia="Arial" w:hAnsi="Arial"/>
                <w:sz w:val="17"/>
                <w:szCs w:val="17"/>
                <w:color w:val="auto"/>
              </w:rPr>
              <w:t>‎11.16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Holiday</w:t>
            </w:r>
            <w:r>
              <w:rPr>
                <w:rFonts w:ascii="Arial" w:cs="Arial" w:eastAsia="Arial" w:hAnsi="Arial"/>
                <w:sz w:val="17"/>
                <w:szCs w:val="17"/>
                <w:color w:val="auto"/>
              </w:rPr>
              <w:t>”</w:t>
            </w: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Arial" w:cs="Arial" w:eastAsia="Arial" w:hAnsi="Arial"/>
                <w:sz w:val="17"/>
                <w:szCs w:val="17"/>
                <w:color w:val="auto"/>
              </w:rPr>
              <w:t>‎11.07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mandatory sinking fund paymen</w:t>
            </w:r>
            <w:r>
              <w:rPr>
                <w:rFonts w:ascii="Arial" w:cs="Arial" w:eastAsia="Arial" w:hAnsi="Arial"/>
                <w:sz w:val="17"/>
                <w:szCs w:val="17"/>
                <w:color w:val="auto"/>
              </w:rPr>
              <w:t>t”</w:t>
            </w:r>
          </w:p>
        </w:tc>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‎12.01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18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jc w:val="right"/>
              <w:ind w:right="3734"/>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20"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Exchange Rate</w:t>
            </w:r>
            <w:r>
              <w:rPr>
                <w:rFonts w:ascii="Arial" w:cs="Arial" w:eastAsia="Arial" w:hAnsi="Arial"/>
                <w:sz w:val="17"/>
                <w:szCs w:val="17"/>
                <w:color w:val="auto"/>
              </w:rPr>
              <w:t>”</w:t>
            </w:r>
          </w:p>
        </w:tc>
        <w:tc>
          <w:tcPr>
            <w:tcW w:w="3920" w:type="dxa"/>
            <w:vAlign w:val="bottom"/>
          </w:tcPr>
          <w:p>
            <w:pPr>
              <w:ind w:left="3500"/>
              <w:spacing w:after="0"/>
              <w:rPr>
                <w:sz w:val="20"/>
                <w:szCs w:val="20"/>
                <w:color w:val="auto"/>
              </w:rPr>
            </w:pPr>
            <w:r>
              <w:rPr>
                <w:rFonts w:ascii="Arial" w:cs="Arial" w:eastAsia="Arial" w:hAnsi="Arial"/>
                <w:sz w:val="17"/>
                <w:szCs w:val="17"/>
                <w:color w:val="auto"/>
                <w:w w:val="93"/>
              </w:rPr>
              <w:t>‎11.15</w:t>
            </w:r>
          </w:p>
        </w:tc>
      </w:tr>
      <w:tr>
        <w:trPr>
          <w:trHeight w:val="193"/>
        </w:trPr>
        <w:tc>
          <w:tcPr>
            <w:tcW w:w="60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York Banking Day</w:t>
            </w:r>
            <w:r>
              <w:rPr>
                <w:rFonts w:ascii="Arial" w:cs="Arial" w:eastAsia="Arial" w:hAnsi="Arial"/>
                <w:sz w:val="17"/>
                <w:szCs w:val="17"/>
                <w:color w:val="auto"/>
              </w:rPr>
              <w:t>”</w:t>
            </w:r>
          </w:p>
        </w:tc>
        <w:tc>
          <w:tcPr>
            <w:tcW w:w="3920" w:type="dxa"/>
            <w:vAlign w:val="bottom"/>
          </w:tcPr>
          <w:p>
            <w:pPr>
              <w:ind w:left="3500"/>
              <w:spacing w:after="0" w:line="194" w:lineRule="exact"/>
              <w:rPr>
                <w:sz w:val="20"/>
                <w:szCs w:val="20"/>
                <w:color w:val="auto"/>
              </w:rPr>
            </w:pPr>
            <w:r>
              <w:rPr>
                <w:rFonts w:ascii="Arial" w:cs="Arial" w:eastAsia="Arial" w:hAnsi="Arial"/>
                <w:sz w:val="17"/>
                <w:szCs w:val="17"/>
                <w:color w:val="auto"/>
                <w:w w:val="93"/>
              </w:rPr>
              <w:t>‎11.16</w:t>
            </w:r>
          </w:p>
        </w:tc>
      </w:tr>
      <w:tr>
        <w:trPr>
          <w:trHeight w:val="193"/>
        </w:trPr>
        <w:tc>
          <w:tcPr>
            <w:tcW w:w="60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optional sinking fund payment</w:t>
            </w:r>
            <w:r>
              <w:rPr>
                <w:rFonts w:ascii="Arial" w:cs="Arial" w:eastAsia="Arial" w:hAnsi="Arial"/>
                <w:sz w:val="17"/>
                <w:szCs w:val="17"/>
                <w:color w:val="auto"/>
              </w:rPr>
              <w:t>”</w:t>
            </w:r>
          </w:p>
        </w:tc>
        <w:tc>
          <w:tcPr>
            <w:tcW w:w="3920" w:type="dxa"/>
            <w:vAlign w:val="bottom"/>
          </w:tcPr>
          <w:p>
            <w:pPr>
              <w:ind w:left="3500"/>
              <w:spacing w:after="0" w:line="194" w:lineRule="exact"/>
              <w:rPr>
                <w:sz w:val="20"/>
                <w:szCs w:val="20"/>
                <w:color w:val="auto"/>
              </w:rPr>
            </w:pPr>
            <w:r>
              <w:rPr>
                <w:rFonts w:ascii="Arial" w:cs="Arial" w:eastAsia="Arial" w:hAnsi="Arial"/>
                <w:sz w:val="17"/>
                <w:szCs w:val="17"/>
                <w:color w:val="auto"/>
                <w:w w:val="93"/>
              </w:rPr>
              <w:t>‎12.01</w:t>
            </w:r>
          </w:p>
        </w:tc>
      </w:tr>
      <w:tr>
        <w:trPr>
          <w:trHeight w:val="193"/>
        </w:trPr>
        <w:tc>
          <w:tcPr>
            <w:tcW w:w="60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Paying Agent</w:t>
            </w:r>
            <w:r>
              <w:rPr>
                <w:rFonts w:ascii="Arial" w:cs="Arial" w:eastAsia="Arial" w:hAnsi="Arial"/>
                <w:sz w:val="17"/>
                <w:szCs w:val="17"/>
                <w:color w:val="auto"/>
              </w:rPr>
              <w:t>”</w:t>
            </w:r>
          </w:p>
        </w:tc>
        <w:tc>
          <w:tcPr>
            <w:tcW w:w="3920" w:type="dxa"/>
            <w:vAlign w:val="bottom"/>
          </w:tcPr>
          <w:p>
            <w:pPr>
              <w:ind w:left="3500"/>
              <w:spacing w:after="0" w:line="194" w:lineRule="exact"/>
              <w:rPr>
                <w:sz w:val="20"/>
                <w:szCs w:val="20"/>
                <w:color w:val="auto"/>
              </w:rPr>
            </w:pPr>
            <w:r>
              <w:rPr>
                <w:rFonts w:ascii="Arial" w:cs="Arial" w:eastAsia="Arial" w:hAnsi="Arial"/>
                <w:sz w:val="17"/>
                <w:szCs w:val="17"/>
                <w:color w:val="auto"/>
              </w:rPr>
              <w:t>‎2.04</w:t>
            </w:r>
          </w:p>
        </w:tc>
      </w:tr>
      <w:tr>
        <w:trPr>
          <w:trHeight w:val="193"/>
        </w:trPr>
        <w:tc>
          <w:tcPr>
            <w:tcW w:w="60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w:t>
            </w:r>
          </w:p>
        </w:tc>
        <w:tc>
          <w:tcPr>
            <w:tcW w:w="3920" w:type="dxa"/>
            <w:vAlign w:val="bottom"/>
          </w:tcPr>
          <w:p>
            <w:pPr>
              <w:ind w:left="3500"/>
              <w:spacing w:after="0" w:line="194" w:lineRule="exact"/>
              <w:rPr>
                <w:sz w:val="20"/>
                <w:szCs w:val="20"/>
                <w:color w:val="auto"/>
              </w:rPr>
            </w:pPr>
            <w:r>
              <w:rPr>
                <w:rFonts w:ascii="Arial" w:cs="Arial" w:eastAsia="Arial" w:hAnsi="Arial"/>
                <w:sz w:val="17"/>
                <w:szCs w:val="17"/>
                <w:color w:val="auto"/>
              </w:rPr>
              <w:t>‎2.04</w:t>
            </w:r>
          </w:p>
        </w:tc>
      </w:tr>
      <w:tr>
        <w:trPr>
          <w:trHeight w:val="193"/>
        </w:trPr>
        <w:tc>
          <w:tcPr>
            <w:tcW w:w="60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Registrar”</w:t>
            </w:r>
          </w:p>
        </w:tc>
        <w:tc>
          <w:tcPr>
            <w:tcW w:w="3920" w:type="dxa"/>
            <w:vAlign w:val="bottom"/>
          </w:tcPr>
          <w:p>
            <w:pPr>
              <w:ind w:left="3500"/>
              <w:spacing w:after="0" w:line="194" w:lineRule="exact"/>
              <w:rPr>
                <w:sz w:val="20"/>
                <w:szCs w:val="20"/>
                <w:color w:val="auto"/>
              </w:rPr>
            </w:pPr>
            <w:r>
              <w:rPr>
                <w:rFonts w:ascii="Arial" w:cs="Arial" w:eastAsia="Arial" w:hAnsi="Arial"/>
                <w:sz w:val="17"/>
                <w:szCs w:val="17"/>
                <w:color w:val="auto"/>
              </w:rPr>
              <w:t>‎2.04</w:t>
            </w:r>
          </w:p>
        </w:tc>
      </w:tr>
      <w:tr>
        <w:trPr>
          <w:trHeight w:val="193"/>
        </w:trPr>
        <w:tc>
          <w:tcPr>
            <w:tcW w:w="60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Currency</w:t>
            </w:r>
            <w:r>
              <w:rPr>
                <w:rFonts w:ascii="Arial" w:cs="Arial" w:eastAsia="Arial" w:hAnsi="Arial"/>
                <w:sz w:val="17"/>
                <w:szCs w:val="17"/>
                <w:color w:val="auto"/>
              </w:rPr>
              <w:t>”</w:t>
            </w:r>
          </w:p>
        </w:tc>
        <w:tc>
          <w:tcPr>
            <w:tcW w:w="3920" w:type="dxa"/>
            <w:vAlign w:val="bottom"/>
          </w:tcPr>
          <w:p>
            <w:pPr>
              <w:ind w:left="3500"/>
              <w:spacing w:after="0" w:line="194" w:lineRule="exact"/>
              <w:rPr>
                <w:sz w:val="20"/>
                <w:szCs w:val="20"/>
                <w:color w:val="auto"/>
              </w:rPr>
            </w:pPr>
            <w:r>
              <w:rPr>
                <w:rFonts w:ascii="Arial" w:cs="Arial" w:eastAsia="Arial" w:hAnsi="Arial"/>
                <w:sz w:val="17"/>
                <w:szCs w:val="17"/>
                <w:color w:val="auto"/>
                <w:w w:val="93"/>
              </w:rPr>
              <w:t>‎11.16</w:t>
            </w:r>
          </w:p>
        </w:tc>
      </w:tr>
      <w:tr>
        <w:trPr>
          <w:trHeight w:val="193"/>
        </w:trPr>
        <w:tc>
          <w:tcPr>
            <w:tcW w:w="6080" w:type="dxa"/>
            <w:vAlign w:val="bottom"/>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 Agent</w:t>
            </w:r>
            <w:r>
              <w:rPr>
                <w:rFonts w:ascii="Arial" w:cs="Arial" w:eastAsia="Arial" w:hAnsi="Arial"/>
                <w:sz w:val="17"/>
                <w:szCs w:val="17"/>
                <w:color w:val="auto"/>
              </w:rPr>
              <w:t>”</w:t>
            </w:r>
          </w:p>
        </w:tc>
        <w:tc>
          <w:tcPr>
            <w:tcW w:w="3920" w:type="dxa"/>
            <w:vAlign w:val="bottom"/>
          </w:tcPr>
          <w:p>
            <w:pPr>
              <w:ind w:left="3500"/>
              <w:spacing w:after="0" w:line="194" w:lineRule="exact"/>
              <w:rPr>
                <w:sz w:val="20"/>
                <w:szCs w:val="20"/>
                <w:color w:val="auto"/>
              </w:rPr>
            </w:pPr>
            <w:r>
              <w:rPr>
                <w:rFonts w:ascii="Arial" w:cs="Arial" w:eastAsia="Arial" w:hAnsi="Arial"/>
                <w:sz w:val="17"/>
                <w:szCs w:val="17"/>
                <w:color w:val="auto"/>
              </w:rPr>
              <w:t>‎2.04</w:t>
            </w:r>
          </w:p>
        </w:tc>
      </w:tr>
      <w:tr>
        <w:trPr>
          <w:trHeight w:val="237"/>
        </w:trPr>
        <w:tc>
          <w:tcPr>
            <w:tcW w:w="608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person</w:t>
            </w:r>
            <w:r>
              <w:rPr>
                <w:rFonts w:ascii="Arial" w:cs="Arial" w:eastAsia="Arial" w:hAnsi="Arial"/>
                <w:sz w:val="17"/>
                <w:szCs w:val="17"/>
                <w:color w:val="auto"/>
              </w:rPr>
              <w:t>”</w:t>
            </w:r>
          </w:p>
        </w:tc>
        <w:tc>
          <w:tcPr>
            <w:tcW w:w="3920" w:type="dxa"/>
            <w:vAlign w:val="bottom"/>
          </w:tcPr>
          <w:p>
            <w:pPr>
              <w:ind w:left="3500"/>
              <w:spacing w:after="0"/>
              <w:rPr>
                <w:sz w:val="20"/>
                <w:szCs w:val="20"/>
                <w:color w:val="auto"/>
              </w:rPr>
            </w:pPr>
            <w:r>
              <w:rPr>
                <w:rFonts w:ascii="Arial" w:cs="Arial" w:eastAsia="Arial" w:hAnsi="Arial"/>
                <w:sz w:val="17"/>
                <w:szCs w:val="17"/>
                <w:color w:val="auto"/>
              </w:rPr>
              <w:t>‎5.01</w:t>
            </w:r>
          </w:p>
        </w:tc>
      </w:tr>
    </w:tbl>
    <w:p>
      <w:pPr>
        <w:spacing w:after="0" w:line="151" w:lineRule="exact"/>
        <w:rPr>
          <w:sz w:val="20"/>
          <w:szCs w:val="20"/>
          <w:color w:val="auto"/>
        </w:rPr>
      </w:pPr>
    </w:p>
    <w:p>
      <w:pPr>
        <w:ind w:right="160" w:firstLine="618"/>
        <w:spacing w:after="0" w:line="273"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Incorporation by Reference of Trust Indenture Act</w:t>
      </w:r>
      <w:r>
        <w:rPr>
          <w:rFonts w:ascii="Arial" w:cs="Arial" w:eastAsia="Arial" w:hAnsi="Arial"/>
          <w:sz w:val="17"/>
          <w:szCs w:val="17"/>
          <w:color w:val="auto"/>
        </w:rPr>
        <w:t>. Whenever this Indenture refers to a provision of the TIA, the provision is incorporated by reference in and made a part of this Indenture. The following TIA terms used in this Indenture have the following meanings: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Commission</w:t>
      </w:r>
      <w:r>
        <w:rPr>
          <w:rFonts w:ascii="Arial" w:cs="Arial" w:eastAsia="Arial" w:hAnsi="Arial"/>
          <w:sz w:val="17"/>
          <w:szCs w:val="17"/>
          <w:color w:val="auto"/>
        </w:rPr>
        <w:t>” means the SEC.</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 securities</w:t>
      </w:r>
      <w:r>
        <w:rPr>
          <w:rFonts w:ascii="Arial" w:cs="Arial" w:eastAsia="Arial" w:hAnsi="Arial"/>
          <w:sz w:val="17"/>
          <w:szCs w:val="17"/>
          <w:color w:val="auto"/>
        </w:rPr>
        <w:t>” means the Securities.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 security holder</w:t>
      </w:r>
      <w:r>
        <w:rPr>
          <w:rFonts w:ascii="Arial" w:cs="Arial" w:eastAsia="Arial" w:hAnsi="Arial"/>
          <w:sz w:val="17"/>
          <w:szCs w:val="17"/>
          <w:color w:val="auto"/>
        </w:rPr>
        <w:t>” means a Securityholder.</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 to be qualified</w:t>
      </w:r>
      <w:r>
        <w:rPr>
          <w:rFonts w:ascii="Arial" w:cs="Arial" w:eastAsia="Arial" w:hAnsi="Arial"/>
          <w:sz w:val="17"/>
          <w:szCs w:val="17"/>
          <w:color w:val="auto"/>
        </w:rPr>
        <w:t>” means this Indenture.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 trustee</w:t>
      </w:r>
      <w:r>
        <w:rPr>
          <w:rFonts w:ascii="Arial" w:cs="Arial" w:eastAsia="Arial" w:hAnsi="Arial"/>
          <w:sz w:val="17"/>
          <w:szCs w:val="17"/>
          <w:color w:val="auto"/>
        </w:rPr>
        <w:t>” or “</w:t>
      </w:r>
      <w:r>
        <w:rPr>
          <w:rFonts w:ascii="Arial" w:cs="Arial" w:eastAsia="Arial" w:hAnsi="Arial"/>
          <w:sz w:val="17"/>
          <w:szCs w:val="17"/>
          <w:b w:val="1"/>
          <w:bCs w:val="1"/>
          <w:color w:val="auto"/>
        </w:rPr>
        <w:t>institutional trustee</w:t>
      </w:r>
      <w:r>
        <w:rPr>
          <w:rFonts w:ascii="Arial" w:cs="Arial" w:eastAsia="Arial" w:hAnsi="Arial"/>
          <w:sz w:val="17"/>
          <w:szCs w:val="17"/>
          <w:color w:val="auto"/>
        </w:rPr>
        <w:t>” means the Trustee.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obligor</w:t>
      </w:r>
      <w:r>
        <w:rPr>
          <w:rFonts w:ascii="Arial" w:cs="Arial" w:eastAsia="Arial" w:hAnsi="Arial"/>
          <w:sz w:val="17"/>
          <w:szCs w:val="17"/>
          <w:color w:val="auto"/>
        </w:rPr>
        <w:t>” on the indenture securities means the Company and any successor obligor upon the Securities.</w:t>
      </w:r>
    </w:p>
    <w:p>
      <w:pPr>
        <w:spacing w:after="0" w:line="193" w:lineRule="exact"/>
        <w:rPr>
          <w:sz w:val="20"/>
          <w:szCs w:val="20"/>
          <w:color w:val="auto"/>
        </w:rPr>
      </w:pPr>
    </w:p>
    <w:p>
      <w:pPr>
        <w:ind w:right="140" w:firstLine="618"/>
        <w:spacing w:after="0" w:line="273" w:lineRule="auto"/>
        <w:rPr>
          <w:sz w:val="20"/>
          <w:szCs w:val="20"/>
          <w:color w:val="auto"/>
        </w:rPr>
      </w:pPr>
      <w:r>
        <w:rPr>
          <w:rFonts w:ascii="Arial" w:cs="Arial" w:eastAsia="Arial" w:hAnsi="Arial"/>
          <w:sz w:val="17"/>
          <w:szCs w:val="17"/>
          <w:color w:val="auto"/>
        </w:rPr>
        <w:t>All other terms used in this Indenture that are defined by the TIA, defined by TIA reference to another statute or defined by SEC rule under the TIA and not otherwise defined herein are used herein as so defined.</w:t>
      </w:r>
    </w:p>
    <w:p>
      <w:pPr>
        <w:spacing w:after="0" w:line="135"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1.04.</w:t>
      </w:r>
      <w:r>
        <w:rPr>
          <w:sz w:val="20"/>
          <w:szCs w:val="20"/>
          <w:color w:val="auto"/>
        </w:rPr>
        <w:tab/>
      </w:r>
      <w:r>
        <w:rPr>
          <w:rFonts w:ascii="Arial" w:cs="Arial" w:eastAsia="Arial" w:hAnsi="Arial"/>
          <w:sz w:val="17"/>
          <w:szCs w:val="17"/>
          <w:i w:val="1"/>
          <w:iCs w:val="1"/>
          <w:color w:val="auto"/>
        </w:rPr>
        <w:t>Rules of Construction</w:t>
      </w:r>
      <w:r>
        <w:rPr>
          <w:rFonts w:ascii="Arial" w:cs="Arial" w:eastAsia="Arial" w:hAnsi="Arial"/>
          <w:sz w:val="17"/>
          <w:szCs w:val="17"/>
          <w:color w:val="auto"/>
        </w:rPr>
        <w:t>. Unless the context otherwise requires:</w:t>
      </w:r>
    </w:p>
    <w:p>
      <w:pPr>
        <w:spacing w:after="0" w:line="191" w:lineRule="exact"/>
        <w:rPr>
          <w:sz w:val="20"/>
          <w:szCs w:val="20"/>
          <w:color w:val="auto"/>
        </w:rPr>
      </w:pPr>
    </w:p>
    <w:p>
      <w:pPr>
        <w:ind w:left="1840" w:hanging="292"/>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term has the meaning assigned to it;</w:t>
      </w:r>
    </w:p>
    <w:p>
      <w:pPr>
        <w:spacing w:after="0" w:line="190" w:lineRule="exact"/>
        <w:rPr>
          <w:rFonts w:ascii="Arial" w:cs="Arial" w:eastAsia="Arial" w:hAnsi="Arial"/>
          <w:sz w:val="17"/>
          <w:szCs w:val="17"/>
          <w:color w:val="auto"/>
        </w:rPr>
      </w:pPr>
    </w:p>
    <w:p>
      <w:pPr>
        <w:ind w:left="1880" w:hanging="332"/>
        <w:spacing w:after="0"/>
        <w:tabs>
          <w:tab w:leader="none" w:pos="1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accounting term not otherwise defined has the meaning assigned to it in accordance with generally accepted accounting</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principles;</w:t>
      </w:r>
    </w:p>
    <w:p>
      <w:pPr>
        <w:spacing w:after="0" w:line="175" w:lineRule="exact"/>
        <w:rPr>
          <w:sz w:val="20"/>
          <w:szCs w:val="20"/>
          <w:color w:val="auto"/>
        </w:rPr>
      </w:pPr>
    </w:p>
    <w:p>
      <w:pPr>
        <w:ind w:left="620" w:right="180" w:firstLine="928"/>
        <w:spacing w:after="0" w:line="273" w:lineRule="auto"/>
        <w:tabs>
          <w:tab w:leader="none" w:pos="1919"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references to “generally accepted accounting principles” shall mean generally accepted accounting principles in effect as of the time when and for the period as to which such accounting principles are to be applied;</w:t>
      </w:r>
    </w:p>
    <w:p>
      <w:pPr>
        <w:spacing w:after="0" w:line="134" w:lineRule="exact"/>
        <w:rPr>
          <w:rFonts w:ascii="Arial" w:cs="Arial" w:eastAsia="Arial" w:hAnsi="Arial"/>
          <w:sz w:val="17"/>
          <w:szCs w:val="17"/>
          <w:color w:val="auto"/>
        </w:rPr>
      </w:pPr>
    </w:p>
    <w:p>
      <w:pPr>
        <w:ind w:left="1920" w:hanging="372"/>
        <w:spacing w:after="0"/>
        <w:tabs>
          <w:tab w:leader="none" w:pos="1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“or” is not exclusive; and</w:t>
      </w:r>
    </w:p>
    <w:p>
      <w:pPr>
        <w:spacing w:after="0" w:line="190" w:lineRule="exact"/>
        <w:rPr>
          <w:rFonts w:ascii="Arial" w:cs="Arial" w:eastAsia="Arial" w:hAnsi="Arial"/>
          <w:sz w:val="17"/>
          <w:szCs w:val="17"/>
          <w:color w:val="auto"/>
        </w:rPr>
      </w:pPr>
    </w:p>
    <w:p>
      <w:pPr>
        <w:ind w:left="1900" w:hanging="352"/>
        <w:spacing w:after="0"/>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words in the singular include the plural, and in the plural include the singular.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he</w:t>
      </w:r>
      <w:r>
        <w:rPr>
          <w:rFonts w:ascii="Arial" w:cs="Arial" w:eastAsia="Arial" w:hAnsi="Arial"/>
          <w:sz w:val="17"/>
          <w:szCs w:val="17"/>
          <w:color w:val="auto"/>
        </w:rPr>
        <w:t xml:space="preserve"> S</w:t>
      </w:r>
      <w:r>
        <w:rPr>
          <w:rFonts w:ascii="Arial" w:cs="Arial" w:eastAsia="Arial" w:hAnsi="Arial"/>
          <w:sz w:val="11"/>
          <w:szCs w:val="11"/>
          <w:color w:val="auto"/>
        </w:rPr>
        <w:t>ecurities</w:t>
      </w:r>
    </w:p>
    <w:p>
      <w:pPr>
        <w:spacing w:after="0" w:line="175" w:lineRule="exact"/>
        <w:rPr>
          <w:sz w:val="20"/>
          <w:szCs w:val="20"/>
          <w:color w:val="auto"/>
        </w:rPr>
      </w:pPr>
    </w:p>
    <w:p>
      <w:pPr>
        <w:ind w:right="60" w:firstLine="618"/>
        <w:spacing w:after="0" w:line="244"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Issuable in Series</w:t>
      </w:r>
      <w:r>
        <w:rPr>
          <w:rFonts w:ascii="Arial" w:cs="Arial" w:eastAsia="Arial" w:hAnsi="Arial"/>
          <w:sz w:val="17"/>
          <w:szCs w:val="17"/>
          <w:color w:val="auto"/>
        </w:rPr>
        <w:t>. 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matters, provided that all Series of Securities shall be equally and ratably entitled to the benefits of the Indenture.</w:t>
      </w:r>
    </w:p>
    <w:p>
      <w:pPr>
        <w:spacing w:after="0" w:line="191" w:lineRule="exact"/>
        <w:rPr>
          <w:sz w:val="20"/>
          <w:szCs w:val="20"/>
          <w:color w:val="auto"/>
        </w:rPr>
      </w:pPr>
    </w:p>
    <w:p>
      <w:pPr>
        <w:jc w:val="both"/>
        <w:ind w:right="320" w:firstLine="618"/>
        <w:spacing w:after="0" w:line="24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Establishment of Terms of Series of Securities</w:t>
      </w:r>
      <w:r>
        <w:rPr>
          <w:rFonts w:ascii="Arial" w:cs="Arial" w:eastAsia="Arial" w:hAnsi="Arial"/>
          <w:sz w:val="17"/>
          <w:szCs w:val="17"/>
          <w:color w:val="auto"/>
        </w:rPr>
        <w:t>. At or prior to the issuance of any Securities within a Series, the following shall be established (as to the Series generally, in the case of Subsection 2‎.02(a) and either as to such Securities within the Series or as to the Series generally in the case of Subsections 2‎.02(b) through 2‎.02(x)) by a Board Resolution, a supplemental indenture or an Officers’ Certificate pursuant to authority granted under a Board Resolution:</w:t>
      </w:r>
    </w:p>
    <w:p>
      <w:pPr>
        <w:spacing w:after="0" w:line="155" w:lineRule="exact"/>
        <w:rPr>
          <w:sz w:val="20"/>
          <w:szCs w:val="20"/>
          <w:color w:val="auto"/>
        </w:rPr>
      </w:pPr>
    </w:p>
    <w:p>
      <w:pPr>
        <w:ind w:right="320" w:firstLine="621"/>
        <w:spacing w:after="0" w:line="273" w:lineRule="auto"/>
        <w:tabs>
          <w:tab w:leader="none" w:pos="97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title and designation of the Securities of the Series, which shall distinguish the Securities of the Series from the Securities of all other Series, and which may be part of a Series of Securities previously issued;</w:t>
      </w:r>
    </w:p>
    <w:p>
      <w:pPr>
        <w:spacing w:after="0" w:line="134" w:lineRule="exact"/>
        <w:rPr>
          <w:rFonts w:ascii="Arial" w:cs="Arial" w:eastAsia="Arial" w:hAnsi="Arial"/>
          <w:sz w:val="17"/>
          <w:szCs w:val="17"/>
          <w:color w:val="auto"/>
        </w:rPr>
      </w:pPr>
    </w:p>
    <w:p>
      <w:pPr>
        <w:ind w:right="100" w:firstLine="621"/>
        <w:spacing w:after="0" w:line="255" w:lineRule="auto"/>
        <w:tabs>
          <w:tab w:leader="none" w:pos="971"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2.07, 2‎.08, 2‎.11, 3‎.06 or 9‎.06);</w:t>
      </w:r>
    </w:p>
    <w:p>
      <w:pPr>
        <w:spacing w:after="0" w:line="149" w:lineRule="exact"/>
        <w:rPr>
          <w:rFonts w:ascii="Arial" w:cs="Arial" w:eastAsia="Arial" w:hAnsi="Arial"/>
          <w:sz w:val="17"/>
          <w:szCs w:val="17"/>
          <w:color w:val="auto"/>
        </w:rPr>
      </w:pPr>
    </w:p>
    <w:p>
      <w:pPr>
        <w:ind w:left="960" w:hanging="339"/>
        <w:spacing w:after="0"/>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other than Dollars, the Foreign Currency or Foreign Currencies in which the Securities of the Series are denominated;</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date or dates on which the principal of the Securities of the Series is payable or the method of determination thereof;</w:t>
      </w:r>
    </w:p>
    <w:p>
      <w:pPr>
        <w:spacing w:after="0" w:line="190" w:lineRule="exact"/>
        <w:rPr>
          <w:rFonts w:ascii="Arial" w:cs="Arial" w:eastAsia="Arial" w:hAnsi="Arial"/>
          <w:sz w:val="17"/>
          <w:szCs w:val="17"/>
          <w:color w:val="auto"/>
        </w:rPr>
      </w:pPr>
    </w:p>
    <w:p>
      <w:pPr>
        <w:ind w:right="60" w:firstLine="621"/>
        <w:spacing w:after="0" w:line="246" w:lineRule="auto"/>
        <w:tabs>
          <w:tab w:leader="none" w:pos="97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the Securities of the Series shall bear interest, if any, the date or dates from which such interest shall accrue, on which such interest shall be payable, the terms and conditions of any deferral of interest and the additional interest, if any, thereon, the right, if any, of the Company to extend the interest payment periods and the duration of the extensions and (in the case of Registered Securities) the date or dates on which a record shall be taken for the determination of Holders to whom interest is payable and/or the method by which such rate or rates or date or dates shall be determined;</w:t>
      </w:r>
    </w:p>
    <w:p>
      <w:pPr>
        <w:spacing w:after="0" w:line="157" w:lineRule="exact"/>
        <w:rPr>
          <w:rFonts w:ascii="Arial" w:cs="Arial" w:eastAsia="Arial" w:hAnsi="Arial"/>
          <w:sz w:val="17"/>
          <w:szCs w:val="17"/>
          <w:color w:val="auto"/>
        </w:rPr>
      </w:pPr>
    </w:p>
    <w:p>
      <w:pPr>
        <w:ind w:left="920" w:hanging="299"/>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place or places where and the manner in which, the principal of and any interest on Securities of the Series shall be payable;</w:t>
      </w:r>
    </w:p>
    <w:p>
      <w:pPr>
        <w:spacing w:after="0" w:line="190" w:lineRule="exact"/>
        <w:rPr>
          <w:rFonts w:ascii="Arial" w:cs="Arial" w:eastAsia="Arial" w:hAnsi="Arial"/>
          <w:sz w:val="17"/>
          <w:szCs w:val="17"/>
          <w:color w:val="auto"/>
        </w:rPr>
      </w:pPr>
    </w:p>
    <w:p>
      <w:pPr>
        <w:ind w:right="280" w:firstLine="621"/>
        <w:spacing w:after="0" w:line="255" w:lineRule="auto"/>
        <w:tabs>
          <w:tab w:leader="none" w:pos="97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right, if any, of the Company to redeem Securities, in whole or in part, at its option and the period or periods within which, or the date or dates on which, the price or prices at which and any terms and conditions upon which Securities of the Series may be so redeemed, pursuant to any sinking fund or otherwise;</w:t>
      </w:r>
    </w:p>
    <w:p>
      <w:pPr>
        <w:spacing w:after="0" w:line="149" w:lineRule="exact"/>
        <w:rPr>
          <w:rFonts w:ascii="Arial" w:cs="Arial" w:eastAsia="Arial" w:hAnsi="Arial"/>
          <w:sz w:val="17"/>
          <w:szCs w:val="17"/>
          <w:color w:val="auto"/>
        </w:rPr>
      </w:pPr>
    </w:p>
    <w:p>
      <w:pPr>
        <w:jc w:val="both"/>
        <w:ind w:right="100" w:firstLine="621"/>
        <w:spacing w:after="0" w:line="249" w:lineRule="auto"/>
        <w:tabs>
          <w:tab w:leader="none" w:pos="97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or the date or dates on which, and any terms and conditions upon which Securities of the Series shall be redeemed, purchased or repaid, in whole or in part, pursuant to such obligation;</w:t>
      </w:r>
    </w:p>
    <w:p>
      <w:pPr>
        <w:spacing w:after="0" w:line="154" w:lineRule="exact"/>
        <w:rPr>
          <w:rFonts w:ascii="Arial" w:cs="Arial" w:eastAsia="Arial" w:hAnsi="Arial"/>
          <w:sz w:val="17"/>
          <w:szCs w:val="17"/>
          <w:color w:val="auto"/>
        </w:rPr>
      </w:pPr>
    </w:p>
    <w:p>
      <w:pPr>
        <w:ind w:firstLine="621"/>
        <w:spacing w:after="0" w:line="243" w:lineRule="auto"/>
        <w:tabs>
          <w:tab w:leader="none" w:pos="9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Securities of such Series are Subordinated Securities, the terms pursuant to which the Securities of such Series will be made subordinate in right of payment to Senior Debt and the definition of such Senior Debt with respect to such Series (in the absence of an express statement to the effect that the Securities of such Series are subordinate in right of payment to all such Senior Debt, the Securities of such Series shall not be subordinate to Senior Debt and shall not constitute Subordinated Securities); and, in the event that the Securities of such Series are Subordinated Securities, such Board Resolution, Officer’s Certificate or supplemental indenture, as the case may be, establishing the terms of such Series shall expressly state which articles, sections or other provisions thereof constitute the “Subordination Provisions” with respect to the Securities of such Series;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64" w:name="page65"/>
    <w:bookmarkEnd w:id="64"/>
    <w:p>
      <w:pPr>
        <w:ind w:right="60" w:firstLine="621"/>
        <w:spacing w:after="0" w:line="273" w:lineRule="auto"/>
        <w:tabs>
          <w:tab w:leader="none" w:pos="91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other than denominations of $1,000 and any integral multiple thereof in the case of Registered Securities, or $1,000 and $5,000 in the case of Bearer Securities, the denominations in which Securities of the Series shall be issuable;</w:t>
      </w:r>
    </w:p>
    <w:p>
      <w:pPr>
        <w:spacing w:after="0" w:line="134" w:lineRule="exact"/>
        <w:rPr>
          <w:rFonts w:ascii="Arial" w:cs="Arial" w:eastAsia="Arial" w:hAnsi="Arial"/>
          <w:sz w:val="17"/>
          <w:szCs w:val="17"/>
          <w:color w:val="auto"/>
        </w:rPr>
      </w:pPr>
    </w:p>
    <w:p>
      <w:pPr>
        <w:jc w:val="both"/>
        <w:ind w:right="40" w:firstLine="621"/>
        <w:spacing w:after="0" w:line="255" w:lineRule="auto"/>
        <w:tabs>
          <w:tab w:leader="none" w:pos="961"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percentage of the principal amount at which the Securities will be issued, and, if other than the principal amount thereof, the portion of the principal amount of Securities of the Series which shall be payable upon declaration of acceleration of the maturity thereof and the terms and conditions of any acceleration;</w:t>
      </w:r>
    </w:p>
    <w:p>
      <w:pPr>
        <w:spacing w:after="0" w:line="149" w:lineRule="exact"/>
        <w:rPr>
          <w:rFonts w:ascii="Arial" w:cs="Arial" w:eastAsia="Arial" w:hAnsi="Arial"/>
          <w:sz w:val="17"/>
          <w:szCs w:val="17"/>
          <w:color w:val="auto"/>
        </w:rPr>
      </w:pPr>
    </w:p>
    <w:p>
      <w:pPr>
        <w:ind w:right="200" w:firstLine="621"/>
        <w:spacing w:after="0" w:line="273" w:lineRule="auto"/>
        <w:tabs>
          <w:tab w:leader="none" w:pos="91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other than the coin, currency or currencies in which the Securities of the Series are denominated, the coin, currency or currencies in which payment of the principal of or interest on the Securities of such Series shall be payable, including composite currencies or currency units;</w:t>
      </w:r>
    </w:p>
    <w:p>
      <w:pPr>
        <w:spacing w:after="0" w:line="134" w:lineRule="exact"/>
        <w:rPr>
          <w:rFonts w:ascii="Arial" w:cs="Arial" w:eastAsia="Arial" w:hAnsi="Arial"/>
          <w:sz w:val="17"/>
          <w:szCs w:val="17"/>
          <w:color w:val="auto"/>
        </w:rPr>
      </w:pPr>
    </w:p>
    <w:p>
      <w:pPr>
        <w:ind w:right="180" w:firstLine="621"/>
        <w:spacing w:after="0" w:line="255" w:lineRule="auto"/>
        <w:tabs>
          <w:tab w:leader="none" w:pos="10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principal of or interest on the Securities of the Series are to be payable, at the election of the Company or a Holder thereof, in a coin or currency other than that in which the Securities are denominated, the period or periods within which, and the terms and conditions upon which, such election may be made;</w:t>
      </w:r>
    </w:p>
    <w:p>
      <w:pPr>
        <w:spacing w:after="0" w:line="149" w:lineRule="exact"/>
        <w:rPr>
          <w:rFonts w:ascii="Arial" w:cs="Arial" w:eastAsia="Arial" w:hAnsi="Arial"/>
          <w:sz w:val="17"/>
          <w:szCs w:val="17"/>
          <w:color w:val="auto"/>
        </w:rPr>
      </w:pPr>
    </w:p>
    <w:p>
      <w:pPr>
        <w:jc w:val="both"/>
        <w:ind w:right="220" w:firstLine="621"/>
        <w:spacing w:after="0" w:line="255" w:lineRule="auto"/>
        <w:tabs>
          <w:tab w:leader="none" w:pos="9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amount of payments of principal of and interest on the Securities of the Series may be determined with reference to an index or formula based on a coin, currency, composite currency or currency unit other than that in which the Securities of the Series are denominated, the manner in which such amounts shall be determined;</w:t>
      </w:r>
    </w:p>
    <w:p>
      <w:pPr>
        <w:spacing w:after="0" w:line="149" w:lineRule="exact"/>
        <w:rPr>
          <w:rFonts w:ascii="Arial" w:cs="Arial" w:eastAsia="Arial" w:hAnsi="Arial"/>
          <w:sz w:val="17"/>
          <w:szCs w:val="17"/>
          <w:color w:val="auto"/>
        </w:rPr>
      </w:pPr>
    </w:p>
    <w:p>
      <w:pPr>
        <w:ind w:firstLine="621"/>
        <w:spacing w:after="0" w:line="246" w:lineRule="auto"/>
        <w:tabs>
          <w:tab w:leader="none" w:pos="9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Securities of the Series will be issuable as Registered Securities (and if so, whether such Securities will be issuable as Registered Global Securities) or Bearer Securities, with or without interest coupons appertaining thereto (and if so, whether such Securities will be issuable as Bearer Global Securities), or any combination of the foregoing, any restrictions applicable to the offer, sale or delivery of Bearer Securities or the payment of interest thereon and the terms upon which Bearer Securities of any Series may be exchanged for Registered Securities of such Series and vice versa;</w:t>
      </w:r>
    </w:p>
    <w:p>
      <w:pPr>
        <w:spacing w:after="0" w:line="157" w:lineRule="exact"/>
        <w:rPr>
          <w:rFonts w:ascii="Arial" w:cs="Arial" w:eastAsia="Arial" w:hAnsi="Arial"/>
          <w:sz w:val="17"/>
          <w:szCs w:val="17"/>
          <w:color w:val="auto"/>
        </w:rPr>
      </w:pPr>
    </w:p>
    <w:p>
      <w:pPr>
        <w:ind w:right="140" w:firstLine="621"/>
        <w:spacing w:after="0" w:line="255" w:lineRule="auto"/>
        <w:tabs>
          <w:tab w:leader="none" w:pos="9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and under what circumstances the Company will pay additional amounts on the Securities of the Series in respect of any tax, assessment or governmental charge withheld or deducted and, if so, whether the Company will have the option to redeem the Securities of the Series rather than pay such additional amounts;</w:t>
      </w:r>
    </w:p>
    <w:p>
      <w:pPr>
        <w:spacing w:after="0" w:line="149" w:lineRule="exact"/>
        <w:rPr>
          <w:rFonts w:ascii="Arial" w:cs="Arial" w:eastAsia="Arial" w:hAnsi="Arial"/>
          <w:sz w:val="17"/>
          <w:szCs w:val="17"/>
          <w:color w:val="auto"/>
        </w:rPr>
      </w:pPr>
    </w:p>
    <w:p>
      <w:pPr>
        <w:ind w:right="220" w:firstLine="621"/>
        <w:spacing w:after="0" w:line="255" w:lineRule="auto"/>
        <w:tabs>
          <w:tab w:leader="none" w:pos="9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49" w:lineRule="exact"/>
        <w:rPr>
          <w:rFonts w:ascii="Arial" w:cs="Arial" w:eastAsia="Arial" w:hAnsi="Arial"/>
          <w:sz w:val="17"/>
          <w:szCs w:val="17"/>
          <w:color w:val="auto"/>
        </w:rPr>
      </w:pPr>
    </w:p>
    <w:p>
      <w:pPr>
        <w:ind w:right="700" w:firstLine="621"/>
        <w:spacing w:after="0" w:line="273" w:lineRule="auto"/>
        <w:tabs>
          <w:tab w:leader="none" w:pos="9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trustees, depositaries, authenticating or paying agents, transfer agents or registrars of any other agents with respect to the Securities of such Series;</w:t>
      </w:r>
    </w:p>
    <w:p>
      <w:pPr>
        <w:spacing w:after="0" w:line="134" w:lineRule="exact"/>
        <w:rPr>
          <w:rFonts w:ascii="Arial" w:cs="Arial" w:eastAsia="Arial" w:hAnsi="Arial"/>
          <w:sz w:val="17"/>
          <w:szCs w:val="17"/>
          <w:color w:val="auto"/>
        </w:rPr>
      </w:pPr>
    </w:p>
    <w:p>
      <w:pPr>
        <w:ind w:right="620" w:firstLine="621"/>
        <w:spacing w:after="0" w:line="255" w:lineRule="auto"/>
        <w:tabs>
          <w:tab w:leader="none" w:pos="96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deletion from, modification of or addition to the Events of Default or covenants with respect to the Securities of such Series, including, if applicable, covenants affording Holders of debt protection with respect to the Company’s operations, financial conditions and transactions involving the Company;</w:t>
      </w:r>
    </w:p>
    <w:p>
      <w:pPr>
        <w:spacing w:after="0" w:line="149" w:lineRule="exact"/>
        <w:rPr>
          <w:rFonts w:ascii="Arial" w:cs="Arial" w:eastAsia="Arial" w:hAnsi="Arial"/>
          <w:sz w:val="17"/>
          <w:szCs w:val="17"/>
          <w:color w:val="auto"/>
        </w:rPr>
      </w:pPr>
    </w:p>
    <w:p>
      <w:pPr>
        <w:ind w:right="180" w:firstLine="621"/>
        <w:spacing w:after="0" w:line="255" w:lineRule="auto"/>
        <w:tabs>
          <w:tab w:leader="none" w:pos="923"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Securities of the Series are to be convertible into or exchangeable for any other security or property of the Company, including, without limitation, securities of another Person held by the Company or its Affiliates and, if so, the terms thereof, including conversion or exchange prices or rate and adjustments thereto;</w:t>
      </w:r>
    </w:p>
    <w:p>
      <w:pPr>
        <w:spacing w:after="0" w:line="149" w:lineRule="exact"/>
        <w:rPr>
          <w:rFonts w:ascii="Arial" w:cs="Arial" w:eastAsia="Arial" w:hAnsi="Arial"/>
          <w:sz w:val="17"/>
          <w:szCs w:val="17"/>
          <w:color w:val="auto"/>
        </w:rPr>
      </w:pPr>
    </w:p>
    <w:p>
      <w:pPr>
        <w:ind w:left="980" w:hanging="359"/>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price or prices at which the Securities will be issued;</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provisions for remarketing;</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5" w:name="page66"/>
    <w:bookmarkEnd w:id="65"/>
    <w:p>
      <w:pPr>
        <w:ind w:left="1000" w:hanging="379"/>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terms applicable to any Securities issued at a discount from their stated principal amount; and</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other terms of the Series.</w:t>
      </w:r>
    </w:p>
    <w:p>
      <w:pPr>
        <w:spacing w:after="0" w:line="191" w:lineRule="exact"/>
        <w:rPr>
          <w:sz w:val="20"/>
          <w:szCs w:val="20"/>
          <w:color w:val="auto"/>
        </w:rPr>
      </w:pPr>
    </w:p>
    <w:p>
      <w:pPr>
        <w:ind w:right="100" w:firstLine="618"/>
        <w:spacing w:after="0" w:line="249"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spacing w:after="0" w:line="155" w:lineRule="exact"/>
        <w:rPr>
          <w:sz w:val="20"/>
          <w:szCs w:val="20"/>
          <w:color w:val="auto"/>
        </w:rPr>
      </w:pPr>
    </w:p>
    <w:p>
      <w:pPr>
        <w:ind w:right="620" w:firstLine="618"/>
        <w:spacing w:after="0" w:line="273"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Execution and Authentication</w:t>
      </w:r>
      <w:r>
        <w:rPr>
          <w:rFonts w:ascii="Arial" w:cs="Arial" w:eastAsia="Arial" w:hAnsi="Arial"/>
          <w:sz w:val="17"/>
          <w:szCs w:val="17"/>
          <w:color w:val="auto"/>
        </w:rPr>
        <w:t>. One or more Officers shall sign the Securities for the Company by manual or facsimile signature.</w:t>
      </w:r>
    </w:p>
    <w:p>
      <w:pPr>
        <w:spacing w:after="0" w:line="135" w:lineRule="exact"/>
        <w:rPr>
          <w:sz w:val="20"/>
          <w:szCs w:val="20"/>
          <w:color w:val="auto"/>
        </w:rPr>
      </w:pPr>
    </w:p>
    <w:p>
      <w:pPr>
        <w:ind w:right="100" w:firstLine="618"/>
        <w:spacing w:after="0" w:line="273" w:lineRule="auto"/>
        <w:rPr>
          <w:sz w:val="20"/>
          <w:szCs w:val="20"/>
          <w:color w:val="auto"/>
        </w:rPr>
      </w:pPr>
      <w:r>
        <w:rPr>
          <w:rFonts w:ascii="Arial" w:cs="Arial" w:eastAsia="Arial" w:hAnsi="Arial"/>
          <w:sz w:val="17"/>
          <w:szCs w:val="17"/>
          <w:color w:val="auto"/>
        </w:rPr>
        <w:t>If an Officer whose signature is on a Security no longer holds that office at the time the Security is authenticated, the Security shall be valid nevertheless so long as such individual was an Officer at the time of execution of the Security.</w:t>
      </w:r>
    </w:p>
    <w:p>
      <w:pPr>
        <w:spacing w:after="0" w:line="135" w:lineRule="exact"/>
        <w:rPr>
          <w:sz w:val="20"/>
          <w:szCs w:val="20"/>
          <w:color w:val="auto"/>
        </w:rPr>
      </w:pPr>
    </w:p>
    <w:p>
      <w:pPr>
        <w:ind w:right="260" w:firstLine="618"/>
        <w:spacing w:after="0" w:line="273" w:lineRule="auto"/>
        <w:rPr>
          <w:sz w:val="20"/>
          <w:szCs w:val="20"/>
          <w:color w:val="auto"/>
        </w:rPr>
      </w:pPr>
      <w:r>
        <w:rPr>
          <w:rFonts w:ascii="Arial" w:cs="Arial" w:eastAsia="Arial" w:hAnsi="Arial"/>
          <w:sz w:val="17"/>
          <w:szCs w:val="17"/>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35" w:lineRule="exact"/>
        <w:rPr>
          <w:sz w:val="20"/>
          <w:szCs w:val="20"/>
          <w:color w:val="auto"/>
        </w:rPr>
      </w:pPr>
    </w:p>
    <w:p>
      <w:pPr>
        <w:ind w:right="100" w:firstLine="618"/>
        <w:spacing w:after="0" w:line="255"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aggregate principal amount of Securities of any Series outstanding at any time may not exceed any limit upon the maximum principal</w:t>
      </w:r>
    </w:p>
    <w:p>
      <w:pPr>
        <w:spacing w:after="0" w:line="14"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amount for such Series set forth in the Board Resolution, supplemental indenture hereto or Officers’ Certificate delivered pursuant to Section‎ 2.02, except as provided in ‎Section 2.08.</w:t>
      </w:r>
    </w:p>
    <w:p>
      <w:pPr>
        <w:spacing w:after="0" w:line="150" w:lineRule="exact"/>
        <w:rPr>
          <w:sz w:val="20"/>
          <w:szCs w:val="20"/>
          <w:color w:val="auto"/>
        </w:rPr>
      </w:pPr>
    </w:p>
    <w:p>
      <w:pPr>
        <w:ind w:right="40" w:firstLine="618"/>
        <w:spacing w:after="0" w:line="249" w:lineRule="auto"/>
        <w:rPr>
          <w:sz w:val="20"/>
          <w:szCs w:val="20"/>
          <w:color w:val="auto"/>
        </w:rPr>
      </w:pPr>
      <w:r>
        <w:rPr>
          <w:rFonts w:ascii="Arial" w:cs="Arial" w:eastAsia="Arial" w:hAnsi="Arial"/>
          <w:sz w:val="17"/>
          <w:szCs w:val="17"/>
          <w:color w:val="auto"/>
        </w:rPr>
        <w:t>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11.04, and (c) an Opinion of Counsel complying with ‎Section 11.04.</w:t>
      </w:r>
    </w:p>
    <w:p>
      <w:pPr>
        <w:spacing w:after="0" w:line="155" w:lineRule="exact"/>
        <w:rPr>
          <w:sz w:val="20"/>
          <w:szCs w:val="20"/>
          <w:color w:val="auto"/>
        </w:rPr>
      </w:pPr>
    </w:p>
    <w:p>
      <w:pPr>
        <w:ind w:right="80" w:firstLine="618"/>
        <w:spacing w:after="0" w:line="255" w:lineRule="auto"/>
        <w:rPr>
          <w:sz w:val="20"/>
          <w:szCs w:val="20"/>
          <w:color w:val="auto"/>
        </w:rPr>
      </w:pPr>
      <w:r>
        <w:rPr>
          <w:rFonts w:ascii="Arial" w:cs="Arial" w:eastAsia="Arial" w:hAnsi="Arial"/>
          <w:sz w:val="17"/>
          <w:szCs w:val="17"/>
          <w:color w:val="auto"/>
        </w:rPr>
        <w:t>The Trustee shall have the right to decline to authenticate and deliver any Securities of such Series: (a) if the Trustee, being advised by counsel, determines that such action may not lawfully be taken; or (b) if the Trustee in good faith shall determine that such action would expose the Trustee to personal liability to Holders of any then outstanding Series of Securities.</w:t>
      </w:r>
    </w:p>
    <w:p>
      <w:pPr>
        <w:spacing w:after="0" w:line="150" w:lineRule="exact"/>
        <w:rPr>
          <w:sz w:val="20"/>
          <w:szCs w:val="20"/>
          <w:color w:val="auto"/>
        </w:rPr>
      </w:pPr>
    </w:p>
    <w:p>
      <w:pPr>
        <w:ind w:firstLine="618"/>
        <w:spacing w:after="0" w:line="246" w:lineRule="auto"/>
        <w:rPr>
          <w:sz w:val="20"/>
          <w:szCs w:val="20"/>
          <w:color w:val="auto"/>
        </w:rPr>
      </w:pPr>
      <w:r>
        <w:rPr>
          <w:rFonts w:ascii="Arial" w:cs="Arial" w:eastAsia="Arial" w:hAnsi="Arial"/>
          <w:sz w:val="17"/>
          <w:szCs w:val="17"/>
          <w:color w:val="auto"/>
        </w:rPr>
        <w:t>The Trustee may appoint an authenticating agent reasonably acceptable to the Company to authenticate the Securities. Any such appointment shall be evidenced by an instrument signed by a Trust Officer, a copy of which shall be furnished to the Company.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spacing w:after="0" w:line="157" w:lineRule="exact"/>
        <w:rPr>
          <w:sz w:val="20"/>
          <w:szCs w:val="20"/>
          <w:color w:val="auto"/>
        </w:rPr>
      </w:pPr>
    </w:p>
    <w:p>
      <w:pPr>
        <w:ind w:right="220" w:firstLine="618"/>
        <w:spacing w:after="0" w:line="253"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Registrar and Paying Agent</w:t>
      </w:r>
      <w:r>
        <w:rPr>
          <w:rFonts w:ascii="Arial" w:cs="Arial" w:eastAsia="Arial" w:hAnsi="Arial"/>
          <w:sz w:val="17"/>
          <w:szCs w:val="17"/>
          <w:color w:val="auto"/>
        </w:rPr>
        <w:t>. The Company shall maintain, with respect to each Series of Securities, at the place or places specified with respect to such Series pursuant to ‎Section 2.02, an office or agency where Securities of such Series may be presented or surrendered for payment (“</w:t>
      </w:r>
      <w:r>
        <w:rPr>
          <w:rFonts w:ascii="Arial" w:cs="Arial" w:eastAsia="Arial" w:hAnsi="Arial"/>
          <w:sz w:val="17"/>
          <w:szCs w:val="17"/>
          <w:b w:val="1"/>
          <w:bCs w:val="1"/>
          <w:color w:val="auto"/>
        </w:rPr>
        <w:t>Paying Agent</w:t>
      </w:r>
      <w:r>
        <w:rPr>
          <w:rFonts w:ascii="Arial" w:cs="Arial" w:eastAsia="Arial" w:hAnsi="Arial"/>
          <w:sz w:val="17"/>
          <w:szCs w:val="17"/>
          <w:color w:val="auto"/>
        </w:rPr>
        <w:t>”), where Securities of such Series may be surrendered for registration of transfer or exchange (“</w:t>
      </w:r>
      <w:r>
        <w:rPr>
          <w:rFonts w:ascii="Arial" w:cs="Arial" w:eastAsia="Arial" w:hAnsi="Arial"/>
          <w:sz w:val="17"/>
          <w:szCs w:val="17"/>
          <w:b w:val="1"/>
          <w:bCs w:val="1"/>
          <w:color w:val="auto"/>
        </w:rPr>
        <w:t>Registrar</w:t>
      </w:r>
      <w:r>
        <w:rPr>
          <w:rFonts w:ascii="Arial" w:cs="Arial" w:eastAsia="Arial" w:hAnsi="Arial"/>
          <w:sz w:val="17"/>
          <w:szCs w:val="17"/>
          <w:color w:val="auto"/>
        </w:rPr>
        <w:t>”) and where notices and demands to or upon the Company in respect of the</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66" w:name="page67"/>
    <w:bookmarkEnd w:id="66"/>
    <w:p>
      <w:pPr>
        <w:ind w:right="80"/>
        <w:spacing w:after="0" w:line="243" w:lineRule="auto"/>
        <w:rPr>
          <w:sz w:val="20"/>
          <w:szCs w:val="20"/>
          <w:color w:val="auto"/>
        </w:rPr>
      </w:pPr>
      <w:r>
        <w:rPr>
          <w:rFonts w:ascii="Arial" w:cs="Arial" w:eastAsia="Arial" w:hAnsi="Arial"/>
          <w:sz w:val="17"/>
          <w:szCs w:val="17"/>
          <w:color w:val="auto"/>
        </w:rPr>
        <w:t>Securities of such Series and this Indenture may be served (“</w:t>
      </w:r>
      <w:r>
        <w:rPr>
          <w:rFonts w:ascii="Arial" w:cs="Arial" w:eastAsia="Arial" w:hAnsi="Arial"/>
          <w:sz w:val="17"/>
          <w:szCs w:val="17"/>
          <w:b w:val="1"/>
          <w:bCs w:val="1"/>
          <w:color w:val="auto"/>
        </w:rPr>
        <w:t>Service Agent</w:t>
      </w:r>
      <w:r>
        <w:rPr>
          <w:rFonts w:ascii="Arial" w:cs="Arial" w:eastAsia="Arial" w:hAnsi="Arial"/>
          <w:sz w:val="17"/>
          <w:szCs w:val="17"/>
          <w:color w:val="auto"/>
        </w:rPr>
        <w:t>”). The Registrar shall keep a register with respect to each Series of Registered Securities (the “</w:t>
      </w:r>
      <w:r>
        <w:rPr>
          <w:rFonts w:ascii="Arial" w:cs="Arial" w:eastAsia="Arial" w:hAnsi="Arial"/>
          <w:sz w:val="17"/>
          <w:szCs w:val="17"/>
          <w:b w:val="1"/>
          <w:bCs w:val="1"/>
          <w:color w:val="auto"/>
        </w:rPr>
        <w:t>Register</w:t>
      </w:r>
      <w:r>
        <w:rPr>
          <w:rFonts w:ascii="Arial" w:cs="Arial" w:eastAsia="Arial" w:hAnsi="Arial"/>
          <w:sz w:val="17"/>
          <w:szCs w:val="17"/>
          <w:color w:val="auto"/>
        </w:rPr>
        <w:t>”)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that the Corporate Trust Office shall not be an office or agency of the Company for the purpose of effecting service of legal process on the Company.</w:t>
      </w:r>
    </w:p>
    <w:p>
      <w:pPr>
        <w:spacing w:after="0" w:line="162" w:lineRule="exact"/>
        <w:rPr>
          <w:sz w:val="20"/>
          <w:szCs w:val="20"/>
          <w:color w:val="auto"/>
        </w:rPr>
      </w:pPr>
    </w:p>
    <w:p>
      <w:pPr>
        <w:ind w:right="60" w:firstLine="618"/>
        <w:spacing w:after="0" w:line="244" w:lineRule="auto"/>
        <w:rPr>
          <w:sz w:val="20"/>
          <w:szCs w:val="20"/>
          <w:color w:val="auto"/>
        </w:rPr>
      </w:pPr>
      <w:r>
        <w:rPr>
          <w:rFonts w:ascii="Arial" w:cs="Arial" w:eastAsia="Arial" w:hAnsi="Arial"/>
          <w:sz w:val="17"/>
          <w:szCs w:val="17"/>
          <w:color w:val="auto"/>
        </w:rPr>
        <w:t>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 obligations to maintain a Registrar, Paying Agent and Service Agent in each place so specified pursuant to ‎Section 2.02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spacing w:after="0" w:line="160" w:lineRule="exact"/>
        <w:rPr>
          <w:sz w:val="20"/>
          <w:szCs w:val="20"/>
          <w:color w:val="auto"/>
        </w:rPr>
      </w:pPr>
    </w:p>
    <w:p>
      <w:pPr>
        <w:ind w:right="40" w:firstLine="618"/>
        <w:spacing w:after="0" w:line="255" w:lineRule="auto"/>
        <w:rPr>
          <w:sz w:val="20"/>
          <w:szCs w:val="20"/>
          <w:color w:val="auto"/>
        </w:rPr>
      </w:pPr>
      <w:r>
        <w:rPr>
          <w:rFonts w:ascii="Arial" w:cs="Arial" w:eastAsia="Arial" w:hAnsi="Arial"/>
          <w:sz w:val="17"/>
          <w:szCs w:val="17"/>
          <w:color w:val="auto"/>
        </w:rPr>
        <w:t>The Company hereby appoints the Trustee as the initial Registrar, Paying Agent and Service Agent for each Series unless another Registrar, Paying Agent or Service Agent, as the case may be, is appointed prior to the time Securities of that Series are first issued. So long as the Trustee is the Service Agent, no service of legal process on the Company may be made on the Service Agent.</w:t>
      </w:r>
    </w:p>
    <w:p>
      <w:pPr>
        <w:spacing w:after="0" w:line="150" w:lineRule="exact"/>
        <w:rPr>
          <w:sz w:val="20"/>
          <w:szCs w:val="20"/>
          <w:color w:val="auto"/>
        </w:rPr>
      </w:pPr>
    </w:p>
    <w:p>
      <w:pPr>
        <w:ind w:right="120" w:firstLine="618"/>
        <w:spacing w:after="0" w:line="273" w:lineRule="auto"/>
        <w:rPr>
          <w:sz w:val="20"/>
          <w:szCs w:val="20"/>
          <w:color w:val="auto"/>
        </w:rPr>
      </w:pPr>
      <w:r>
        <w:rPr>
          <w:rFonts w:ascii="Arial" w:cs="Arial" w:eastAsia="Arial" w:hAnsi="Arial"/>
          <w:sz w:val="17"/>
          <w:szCs w:val="17"/>
          <w:color w:val="auto"/>
        </w:rPr>
        <w:t>The rights, privileges, protections, immunities and benefits given to the Trustee under this Indenture including, without limitation, its right to be indemnified, are extended to, and shall be enforceable by, the Trustee in each of its capacities hereunder, and each Agent acting hereunder.</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shall enter into an appropriate agency agreement with any Registrar, Paying Agent or Service Agent not a party to this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Indenture, which shall incorporate the terms of the TIA. The agreement shall implement the provisions of this Indenture that relate to such agent.</w:t>
      </w:r>
    </w:p>
    <w:p>
      <w:pPr>
        <w:spacing w:after="0"/>
        <w:rPr>
          <w:sz w:val="20"/>
          <w:szCs w:val="20"/>
          <w:color w:val="auto"/>
        </w:rPr>
      </w:pPr>
      <w:r>
        <w:rPr>
          <w:rFonts w:ascii="Arial" w:cs="Arial" w:eastAsia="Arial" w:hAnsi="Arial"/>
          <w:sz w:val="17"/>
          <w:szCs w:val="17"/>
          <w:color w:val="auto"/>
        </w:rPr>
        <w:t>The Company shall notify the Trustee of the name and address of any such agent.</w:t>
      </w:r>
    </w:p>
    <w:p>
      <w:pPr>
        <w:spacing w:after="0" w:line="175" w:lineRule="exact"/>
        <w:rPr>
          <w:sz w:val="20"/>
          <w:szCs w:val="20"/>
          <w:color w:val="auto"/>
        </w:rPr>
      </w:pPr>
    </w:p>
    <w:p>
      <w:pPr>
        <w:ind w:firstLine="618"/>
        <w:spacing w:after="0" w:line="242" w:lineRule="auto"/>
        <w:rPr>
          <w:sz w:val="20"/>
          <w:szCs w:val="20"/>
          <w:color w:val="auto"/>
        </w:rPr>
      </w:pPr>
      <w:r>
        <w:rPr>
          <w:rFonts w:ascii="Arial" w:cs="Arial" w:eastAsia="Arial" w:hAnsi="Arial"/>
          <w:sz w:val="17"/>
          <w:szCs w:val="17"/>
          <w:color w:val="auto"/>
        </w:rPr>
        <w:t>The Company may remove any Registrar, Paying Agent or Service Agent for any Series of Securities upon written notice to such Registrar, Paying Agent or Service Agent and to the Trustee; provided, however, that no such removal shall become effective until (1) acceptance of an appointment by a successor as evidenced by an appropriate agreement entered into by the Company and such successor Registrar, Paying Agent or Service Agent, as the case may be, and delivered to the Trustee or (2) notification to the Trustee that the Trustee shall serve as Registrar, Paying Agent or Service Agent, as the case may be, until the appointment of a successor in accordance with clause (1) above. The Registrar, Paying Agent or Service Agent may resign at any time upon written notice; provided, however, that the Trustee may resign as Paying Agent, Registrar or Service Agent only if the Trustee also resigns as Trustee in accordance with ‎Section 7.08. Upon any Event of Default under ‎Section 6.01(e) or ‎Section 6.01(f), the Trustee shall automatically be the Paying Agent.</w:t>
      </w:r>
    </w:p>
    <w:p>
      <w:pPr>
        <w:spacing w:after="0" w:line="162" w:lineRule="exact"/>
        <w:rPr>
          <w:sz w:val="20"/>
          <w:szCs w:val="20"/>
          <w:color w:val="auto"/>
        </w:rPr>
      </w:pPr>
    </w:p>
    <w:p>
      <w:pPr>
        <w:ind w:right="20" w:firstLine="618"/>
        <w:spacing w:after="0" w:line="242"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Paying Agent to Hold Money in Trust.</w:t>
      </w:r>
      <w:r>
        <w:rPr>
          <w:rFonts w:ascii="Arial" w:cs="Arial" w:eastAsia="Arial" w:hAnsi="Arial"/>
          <w:sz w:val="17"/>
          <w:szCs w:val="17"/>
          <w:color w:val="auto"/>
        </w:rPr>
        <w:t xml:space="preserve"> Prior to each due date of the principal and interest on any Series of Securities, the Company shall deposit with the Paying Agent (or if the Company or a Subsidiary is acting as Paying Agent, segregate and hold in trust for the benefit of the Persons entitled thereto) a sum sufficient to pay such principal and interest when so becoming due. 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67" w:name="page68"/>
    <w:bookmarkEnd w:id="67"/>
    <w:p>
      <w:pPr>
        <w:spacing w:after="0" w:line="255" w:lineRule="auto"/>
        <w:rPr>
          <w:sz w:val="20"/>
          <w:szCs w:val="20"/>
          <w:color w:val="auto"/>
        </w:rPr>
      </w:pPr>
      <w:r>
        <w:rPr>
          <w:rFonts w:ascii="Arial" w:cs="Arial" w:eastAsia="Arial" w:hAnsi="Arial"/>
          <w:sz w:val="17"/>
          <w:szCs w:val="17"/>
          <w:color w:val="auto"/>
        </w:rPr>
        <w:t>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spacing w:after="0" w:line="150" w:lineRule="exact"/>
        <w:rPr>
          <w:sz w:val="20"/>
          <w:szCs w:val="20"/>
          <w:color w:val="auto"/>
        </w:rPr>
      </w:pPr>
    </w:p>
    <w:p>
      <w:pPr>
        <w:ind w:firstLine="618"/>
        <w:spacing w:after="0" w:line="24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Securityholder Lists</w:t>
      </w:r>
      <w:r>
        <w:rPr>
          <w:rFonts w:ascii="Arial" w:cs="Arial" w:eastAsia="Arial" w:hAnsi="Arial"/>
          <w:sz w:val="17"/>
          <w:szCs w:val="17"/>
          <w:color w:val="auto"/>
        </w:rPr>
        <w:t>. 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or cause the Registrar to furnish, to the Trustee at least five Business Days before each interest payment date, but in any event not less frequently than semi-annually,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right="300" w:firstLine="618"/>
        <w:spacing w:after="0" w:line="24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Exchange and Registration of Transfer</w:t>
      </w:r>
      <w:r>
        <w:rPr>
          <w:rFonts w:ascii="Arial" w:cs="Arial" w:eastAsia="Arial" w:hAnsi="Arial"/>
          <w:sz w:val="17"/>
          <w:szCs w:val="17"/>
          <w:color w:val="auto"/>
        </w:rPr>
        <w:t>. The Company shall cause to be kept at the Corporate Trust Office the Register in which, subject to such reasonable regulations as it may prescribe, the Company shall provide for the registration of Securities of a Series and of transfers of Securities of such Series. The Register shall be in written form or in any form capable of being converted into written form within a reasonably prompt period of time.</w:t>
      </w:r>
    </w:p>
    <w:p>
      <w:pPr>
        <w:spacing w:after="0" w:line="155" w:lineRule="exact"/>
        <w:rPr>
          <w:sz w:val="20"/>
          <w:szCs w:val="20"/>
          <w:color w:val="auto"/>
        </w:rPr>
      </w:pPr>
    </w:p>
    <w:p>
      <w:pPr>
        <w:ind w:right="80" w:firstLine="618"/>
        <w:spacing w:after="0" w:line="249" w:lineRule="auto"/>
        <w:rPr>
          <w:sz w:val="20"/>
          <w:szCs w:val="20"/>
          <w:color w:val="auto"/>
        </w:rPr>
      </w:pPr>
      <w:r>
        <w:rPr>
          <w:rFonts w:ascii="Arial" w:cs="Arial" w:eastAsia="Arial" w:hAnsi="Arial"/>
          <w:sz w:val="17"/>
          <w:szCs w:val="17"/>
          <w:color w:val="auto"/>
        </w:rPr>
        <w:t>Upon surrender for registration of transfer of any Security of a Series to the Registrar or any co-registrar, and satisfaction of the requirements for such transfer set forth in this ‎Section 2.07, the Company shall execute, and the Trustee shall authenticate and deliver, in the name of the designated transferee or transferees, one or more new Security of the same Series of any authorized denominations and of a like aggregate principal amount and bearing such restrictive legends as may be required by this Indenture.</w:t>
      </w:r>
    </w:p>
    <w:p>
      <w:pPr>
        <w:spacing w:after="0" w:line="155" w:lineRule="exact"/>
        <w:rPr>
          <w:sz w:val="20"/>
          <w:szCs w:val="20"/>
          <w:color w:val="auto"/>
        </w:rPr>
      </w:pPr>
    </w:p>
    <w:p>
      <w:pPr>
        <w:ind w:right="200" w:firstLine="618"/>
        <w:spacing w:after="0" w:line="246" w:lineRule="auto"/>
        <w:rPr>
          <w:sz w:val="20"/>
          <w:szCs w:val="20"/>
          <w:color w:val="auto"/>
        </w:rPr>
      </w:pPr>
      <w:r>
        <w:rPr>
          <w:rFonts w:ascii="Arial" w:cs="Arial" w:eastAsia="Arial" w:hAnsi="Arial"/>
          <w:sz w:val="17"/>
          <w:szCs w:val="17"/>
          <w:color w:val="auto"/>
        </w:rPr>
        <w:t>Securities of a Series may be exchanged for other Securities of the same Series of any authorized denominations and of a like aggregate principal amount, upon surrender of the Securities to be exchanged at any such office or agency maintained by the Company pursuant to ‎Section 4.06. Whenever any Securities of a Series are so surrendered for exchange, the Company shall execute, and the Trustee shall authenticate and deliver, the Securities of the same Series that the Holder making the exchange is entitled to receive bearing registration numbers not contemporaneously outstanding.</w:t>
      </w:r>
    </w:p>
    <w:p>
      <w:pPr>
        <w:spacing w:after="0" w:line="157" w:lineRule="exact"/>
        <w:rPr>
          <w:sz w:val="20"/>
          <w:szCs w:val="20"/>
          <w:color w:val="auto"/>
        </w:rPr>
      </w:pPr>
    </w:p>
    <w:p>
      <w:pPr>
        <w:jc w:val="both"/>
        <w:ind w:right="20" w:firstLine="618"/>
        <w:spacing w:after="0" w:line="255" w:lineRule="auto"/>
        <w:rPr>
          <w:sz w:val="20"/>
          <w:szCs w:val="20"/>
          <w:color w:val="auto"/>
        </w:rPr>
      </w:pPr>
      <w:r>
        <w:rPr>
          <w:rFonts w:ascii="Arial" w:cs="Arial" w:eastAsia="Arial" w:hAnsi="Arial"/>
          <w:sz w:val="17"/>
          <w:szCs w:val="17"/>
          <w:color w:val="auto"/>
        </w:rPr>
        <w:t>All Securities of a Series issued upon any registration of transfer or exchange of Securities of the same Series shall be the valid obligations of the Company, evidencing the same debt, and entitled to the same benefits under this Indenture, as the Securities of the same Series surrendered upon such registration of transfer or exchange.</w:t>
      </w:r>
    </w:p>
    <w:p>
      <w:pPr>
        <w:spacing w:after="0" w:line="150" w:lineRule="exact"/>
        <w:rPr>
          <w:sz w:val="20"/>
          <w:szCs w:val="20"/>
          <w:color w:val="auto"/>
        </w:rPr>
      </w:pPr>
    </w:p>
    <w:p>
      <w:pPr>
        <w:ind w:right="280" w:firstLine="618"/>
        <w:spacing w:after="0" w:line="255" w:lineRule="auto"/>
        <w:rPr>
          <w:sz w:val="20"/>
          <w:szCs w:val="20"/>
          <w:color w:val="auto"/>
        </w:rPr>
      </w:pPr>
      <w:r>
        <w:rPr>
          <w:rFonts w:ascii="Arial" w:cs="Arial" w:eastAsia="Arial" w:hAnsi="Arial"/>
          <w:sz w:val="17"/>
          <w:szCs w:val="17"/>
          <w:color w:val="auto"/>
        </w:rPr>
        <w:t>All Securities of a Series presented or surrendered for registration of transfer or for exchange shall (if so required by the Company or the Registrar) be duly endorsed, or be accompanied by a written instrument or instruments of transfer in form satisfactory to the Company, and the Securities of such Series shall be duly executed by the Holder thereof or his attorney duly authorized in writing.</w:t>
      </w:r>
    </w:p>
    <w:p>
      <w:pPr>
        <w:spacing w:after="0" w:line="150" w:lineRule="exact"/>
        <w:rPr>
          <w:sz w:val="20"/>
          <w:szCs w:val="20"/>
          <w:color w:val="auto"/>
        </w:rPr>
      </w:pPr>
    </w:p>
    <w:p>
      <w:pPr>
        <w:ind w:right="40" w:firstLine="618"/>
        <w:spacing w:after="0" w:line="249" w:lineRule="auto"/>
        <w:rPr>
          <w:sz w:val="20"/>
          <w:szCs w:val="20"/>
          <w:color w:val="auto"/>
        </w:rPr>
      </w:pPr>
      <w:r>
        <w:rPr>
          <w:rFonts w:ascii="Arial" w:cs="Arial" w:eastAsia="Arial" w:hAnsi="Arial"/>
          <w:sz w:val="17"/>
          <w:szCs w:val="17"/>
          <w:color w:val="auto"/>
        </w:rPr>
        <w:t>No service charge shall be made to any holder for any registration of, transfer or exchange of Securities, but the Company or the Trustee may require payment by the holder of a sum sufficient to cover any tax, assessment or other governmental charge that may be imposed in connection with any registration of transfer or exchange of such Securities (other than any such transfer tax or similar governmental charge payable upon exchanges pursuant to Sections 2‎.11, 3‎.06 or 9‎.06).</w:t>
      </w:r>
    </w:p>
    <w:p>
      <w:pPr>
        <w:spacing w:after="0" w:line="155" w:lineRule="exact"/>
        <w:rPr>
          <w:sz w:val="20"/>
          <w:szCs w:val="20"/>
          <w:color w:val="auto"/>
        </w:rPr>
      </w:pPr>
    </w:p>
    <w:p>
      <w:pPr>
        <w:ind w:right="280" w:firstLine="618"/>
        <w:spacing w:after="0" w:line="249" w:lineRule="auto"/>
        <w:rPr>
          <w:sz w:val="20"/>
          <w:szCs w:val="20"/>
          <w:color w:val="auto"/>
        </w:rPr>
      </w:pPr>
      <w:r>
        <w:rPr>
          <w:rFonts w:ascii="Arial" w:cs="Arial" w:eastAsia="Arial" w:hAnsi="Arial"/>
          <w:sz w:val="17"/>
          <w:szCs w:val="17"/>
          <w:color w:val="auto"/>
        </w:rPr>
        <w:t>Neither the Company nor the Trustee nor any Registrar shall be required to exchange, issue or register a transfer of (a) Securities of any Series for a period of fifteen calendar days next preceding date of mailing of a notice of redemption of Securities of that Series selected for redemption, or (b) Securities of any Series or portions thereof called for redemption, except for the unredeemed portion of any Securities of that Series being redeemed in part.</w:t>
      </w:r>
    </w:p>
    <w:p>
      <w:pPr>
        <w:spacing w:after="0" w:line="155" w:lineRule="exact"/>
        <w:rPr>
          <w:sz w:val="20"/>
          <w:szCs w:val="20"/>
          <w:color w:val="auto"/>
        </w:rPr>
      </w:pPr>
    </w:p>
    <w:p>
      <w:pPr>
        <w:ind w:right="1080" w:firstLine="618"/>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Mutilated, Destroyed, Lost and Stolen Securities.</w:t>
      </w:r>
      <w:r>
        <w:rPr>
          <w:rFonts w:ascii="Arial" w:cs="Arial" w:eastAsia="Arial" w:hAnsi="Arial"/>
          <w:sz w:val="17"/>
          <w:szCs w:val="17"/>
          <w:color w:val="auto"/>
        </w:rPr>
        <w:t xml:space="preserve"> If a mutilated Security is surrendered to the Registrar or if the Securityholder of a Security claims that the Security has been lost,</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8" w:name="page69"/>
    <w:bookmarkEnd w:id="68"/>
    <w:p>
      <w:pPr>
        <w:ind w:right="20"/>
        <w:spacing w:after="0" w:line="239" w:lineRule="auto"/>
        <w:rPr>
          <w:sz w:val="20"/>
          <w:szCs w:val="20"/>
          <w:color w:val="auto"/>
        </w:rPr>
      </w:pPr>
      <w:r>
        <w:rPr>
          <w:rFonts w:ascii="Arial" w:cs="Arial" w:eastAsia="Arial" w:hAnsi="Arial"/>
          <w:sz w:val="17"/>
          <w:szCs w:val="17"/>
          <w:color w:val="auto"/>
        </w:rPr>
        <w:t>destroyed or wrongfully taken, the Company shall issue and the Trustee shall authenticate and deliver a replacement Security of the same Series if the requirements of Section 8-405 of the Uniform Commercial Code are met, such that the Securityholder (a) satisfies the Company or the Trustee within a reasonable time after he has notice of such loss, destruction or wrongful taking and the Registrar does not register a transfer prior to receiving such notification, (b) makes such request to the Company or the Trustee prior to the Security being acquired by a protected purchaser as defined in Section 8-303 of the Uniform Commercial Code (a “</w:t>
      </w:r>
      <w:r>
        <w:rPr>
          <w:rFonts w:ascii="Arial" w:cs="Arial" w:eastAsia="Arial" w:hAnsi="Arial"/>
          <w:sz w:val="17"/>
          <w:szCs w:val="17"/>
          <w:b w:val="1"/>
          <w:bCs w:val="1"/>
          <w:color w:val="auto"/>
        </w:rPr>
        <w:t>protected purchaser</w:t>
      </w:r>
      <w:r>
        <w:rPr>
          <w:rFonts w:ascii="Arial" w:cs="Arial" w:eastAsia="Arial" w:hAnsi="Arial"/>
          <w:sz w:val="17"/>
          <w:szCs w:val="17"/>
          <w:color w:val="auto"/>
        </w:rPr>
        <w:t>”) and (c) satisfies any other reasonable requirements of the Company or the Trustee. If required by the Trustee or the Company, such Securityholder shall furnish an indemnity bond sufficient in the judgment of the Trustee to protect the Trustee and any Agent and in the judgment of the Company to protect the Company, the Trustee, the Paying Agent and the Registrar from any loss that any of them may suffer if a Security is replaced. The Company and the Trustee may charge the Securityholder for their expenses in replacing a Security. In case any Security which has matured or is about to mature or has been called for redemption, shall become mutilated or be destroyed, lost or stolen, the Company may, instead of issuing a substitute Security, pay or authorize the payment of (without surrender thereof except in the case of a mutilated Security),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in connection with such substitution, and, in every case of destruction, loss or theft, the applicant shall also furnish to the Company, the Trustee and, if applicable, any Paying Agent evidence to their satisfaction of the destruction, loss or theft of such Securities and of the ownership thereof.</w:t>
      </w:r>
    </w:p>
    <w:p>
      <w:pPr>
        <w:spacing w:after="0" w:line="171" w:lineRule="exact"/>
        <w:rPr>
          <w:sz w:val="20"/>
          <w:szCs w:val="20"/>
          <w:color w:val="auto"/>
        </w:rPr>
      </w:pPr>
    </w:p>
    <w:p>
      <w:pPr>
        <w:ind w:right="180" w:firstLine="618"/>
        <w:spacing w:after="0" w:line="273" w:lineRule="auto"/>
        <w:rPr>
          <w:sz w:val="20"/>
          <w:szCs w:val="20"/>
          <w:color w:val="auto"/>
        </w:rPr>
      </w:pPr>
      <w:r>
        <w:rPr>
          <w:rFonts w:ascii="Arial" w:cs="Arial" w:eastAsia="Arial" w:hAnsi="Arial"/>
          <w:sz w:val="17"/>
          <w:szCs w:val="17"/>
          <w:color w:val="auto"/>
        </w:rPr>
        <w:t>Every replacement Security of any Series issued pursuant to this Section is an additional obligation of the Company, evidencing the same debt, and entitled to the same benefits under this Indenture, as the Securities of the same Series replaced.</w:t>
      </w:r>
    </w:p>
    <w:p>
      <w:pPr>
        <w:spacing w:after="0" w:line="135" w:lineRule="exact"/>
        <w:rPr>
          <w:sz w:val="20"/>
          <w:szCs w:val="20"/>
          <w:color w:val="auto"/>
        </w:rPr>
      </w:pPr>
    </w:p>
    <w:p>
      <w:pPr>
        <w:ind w:right="620" w:firstLine="618"/>
        <w:spacing w:after="0" w:line="273" w:lineRule="auto"/>
        <w:rPr>
          <w:sz w:val="20"/>
          <w:szCs w:val="20"/>
          <w:color w:val="auto"/>
        </w:rPr>
      </w:pPr>
      <w:r>
        <w:rPr>
          <w:rFonts w:ascii="Arial" w:cs="Arial" w:eastAsia="Arial" w:hAnsi="Arial"/>
          <w:sz w:val="17"/>
          <w:szCs w:val="17"/>
          <w:color w:val="auto"/>
        </w:rPr>
        <w:t>The provisions of this Section are exclusive and shall preclude (to the extent lawful) all other rights and remedies with respect to the replacement or payment of mutilated, destroyed, lost or stolen Securities.</w:t>
      </w:r>
    </w:p>
    <w:p>
      <w:pPr>
        <w:spacing w:after="0" w:line="135"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Outstanding Securities</w:t>
      </w:r>
      <w:r>
        <w:rPr>
          <w:rFonts w:ascii="Arial" w:cs="Arial" w:eastAsia="Arial" w:hAnsi="Arial"/>
          <w:sz w:val="17"/>
          <w:szCs w:val="17"/>
          <w:color w:val="auto"/>
        </w:rPr>
        <w:t>. The Securities outstanding at any time are all the Securities authenticated by the Trustee except for those cancelled by it, those delivered to it for cancellation, those reductions in the interest on a Registered Global Security effected by the Trustee in accordance with the provisions hereof and those described in this Section as not outstanding. A Security does not cease to be outstanding because the Company or an Affiliate holds the Security.</w:t>
      </w:r>
    </w:p>
    <w:p>
      <w:pPr>
        <w:spacing w:after="0" w:line="155" w:lineRule="exact"/>
        <w:rPr>
          <w:sz w:val="20"/>
          <w:szCs w:val="20"/>
          <w:color w:val="auto"/>
        </w:rPr>
      </w:pPr>
    </w:p>
    <w:p>
      <w:pPr>
        <w:ind w:right="880" w:firstLine="618"/>
        <w:spacing w:after="0" w:line="273" w:lineRule="auto"/>
        <w:rPr>
          <w:sz w:val="20"/>
          <w:szCs w:val="20"/>
          <w:color w:val="auto"/>
        </w:rPr>
      </w:pPr>
      <w:r>
        <w:rPr>
          <w:rFonts w:ascii="Arial" w:cs="Arial" w:eastAsia="Arial" w:hAnsi="Arial"/>
          <w:sz w:val="17"/>
          <w:szCs w:val="17"/>
          <w:color w:val="auto"/>
        </w:rPr>
        <w:t>If a Security is replaced pursuant to Section‎ 2.08, it ceases to be outstanding unless the Trustee and the Company receive proof satisfactory to them that the replaced Security is held by a protected purchaser.</w:t>
      </w:r>
    </w:p>
    <w:p>
      <w:pPr>
        <w:spacing w:after="0" w:line="135"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If the Paying Agent (other than the Company, a Subsidiary or an Affiliate of any thereof) holds on the Maturity of Securities of a Series money sufficient to pay such Securities (or portions thereof) payable on that date, and the Paying Agent is not prohibited from paying such money to the Securityholders of such Series on that date pursuant to the terms of the Indenture, then on and after that date such Securities of the Series (or portions thereof) cease to be outstanding and interest on them ceases to accrue.</w:t>
      </w:r>
    </w:p>
    <w:p>
      <w:pPr>
        <w:spacing w:after="0" w:line="155"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55" w:lineRule="exact"/>
        <w:rPr>
          <w:sz w:val="20"/>
          <w:szCs w:val="20"/>
          <w:color w:val="auto"/>
        </w:rPr>
      </w:pPr>
    </w:p>
    <w:p>
      <w:pPr>
        <w:ind w:right="120" w:firstLine="618"/>
        <w:spacing w:after="0" w:line="255"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Treasury Securities</w:t>
      </w:r>
      <w:r>
        <w:rPr>
          <w:rFonts w:ascii="Arial" w:cs="Arial" w:eastAsia="Arial" w:hAnsi="Arial"/>
          <w:sz w:val="17"/>
          <w:szCs w:val="17"/>
          <w:color w:val="auto"/>
        </w:rPr>
        <w:t>. In determining whether the Holders of the required principal amount of Securities of a Series have concurred in any direction, waiver or consent, Securities of a Series owned by the Company, any other obligor upon the Securities or an Affiliate of the Company or such other obligor shall be disregarded and deemed not to be outstanding, except that for the purposes of</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69" w:name="page70"/>
    <w:bookmarkEnd w:id="69"/>
    <w:p>
      <w:pPr>
        <w:spacing w:after="0" w:line="241" w:lineRule="auto"/>
        <w:rPr>
          <w:sz w:val="20"/>
          <w:szCs w:val="20"/>
          <w:color w:val="auto"/>
        </w:rPr>
      </w:pPr>
      <w:r>
        <w:rPr>
          <w:rFonts w:ascii="Arial" w:cs="Arial" w:eastAsia="Arial" w:hAnsi="Arial"/>
          <w:sz w:val="17"/>
          <w:szCs w:val="17"/>
          <w:color w:val="auto"/>
        </w:rPr>
        <w:t>determining whether the Trustee shall be protected in relying on any such direction, waiver or consent only Securities of a Series that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any other obligor on the Securities. In case of a dispute as to such right, the advice of counsel shall be full protection in respect of any decision made by the Trustee in accordance with such advice. Upon written request of the Trustee, the Company shall furnish to the Trustee promptly an Officers’ Certificate listing and identifying all Securities, if any, known by the Company to be owned or held by or for the account of any of the above-described persons; and, subject to Sections 7‎.01 and 7‎.02, the Trustee shall be entitled to accept such Officers’ Certificate as conclusive evidence of the facts therein set forth and of the fact that all Securities not listed therein are outstanding for the purpose of any such determination.</w:t>
      </w:r>
    </w:p>
    <w:p>
      <w:pPr>
        <w:spacing w:after="0" w:line="165" w:lineRule="exact"/>
        <w:rPr>
          <w:sz w:val="20"/>
          <w:szCs w:val="20"/>
          <w:color w:val="auto"/>
        </w:rPr>
      </w:pPr>
    </w:p>
    <w:p>
      <w:pPr>
        <w:ind w:right="20" w:firstLine="618"/>
        <w:spacing w:after="0"/>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Temporary Securities.</w:t>
      </w:r>
      <w:r>
        <w:rPr>
          <w:rFonts w:ascii="Arial" w:cs="Arial" w:eastAsia="Arial" w:hAnsi="Arial"/>
          <w:sz w:val="17"/>
          <w:szCs w:val="17"/>
          <w:color w:val="auto"/>
        </w:rPr>
        <w:t xml:space="preserve"> Pending the preparation of Securities in certificated form, the Company may execute and the Trustee or an authenticating agent appointed by the Trustee shall, upon a Company Order, authenticate and deliver temporary Securities (printed, lithographed, typewritten, photocopied or otherwise produced). Temporary Securities shall be issuable in any authorized denomination, and substantially in the form of the Securities in certificated form, but with such omissions, insertions and variations as may be appropriate for temporary Securities, all as may be determined by the Company. Every such temporary Security shall be executed by the Company and authenticated by the Trustee or such authenticating agent upon the same conditions and in substantially the same manner, and with the same effect, as the Securities in certificated form. Without unreasonable delay, the Company will execute and deliver to the Trustee or such authenticating agent Securities of the same Series in certificated form and thereupon any or all temporary Securities may be surrendered in exchange therefor, at each office or agency maintained by the Company pursuant to ‎Section 4.07 and the Trustee or such authenticating agent shall authenticate and make available for delivery in exchange for such temporary Securities an equal aggregate principal amount of Securities of the same Series in certificated form. Such exchange shall be made by the Company at its own expense and without any charge therefor. Until so exchanged, the temporary Securities shall in all respects be entitled to the same benefits and subject to the same limitations under this Indenture as Securities of the same Series in certificated form authenticated and delivered hereunder.</w:t>
      </w:r>
    </w:p>
    <w:p>
      <w:pPr>
        <w:spacing w:after="0" w:line="163" w:lineRule="exact"/>
        <w:rPr>
          <w:sz w:val="20"/>
          <w:szCs w:val="20"/>
          <w:color w:val="auto"/>
        </w:rPr>
      </w:pPr>
    </w:p>
    <w:p>
      <w:pPr>
        <w:ind w:right="120" w:firstLine="618"/>
        <w:spacing w:after="0" w:line="244"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i w:val="1"/>
          <w:iCs w:val="1"/>
          <w:color w:val="auto"/>
        </w:rPr>
        <w:t>Cancellation.</w:t>
      </w:r>
      <w:r>
        <w:rPr>
          <w:rFonts w:ascii="Arial" w:cs="Arial" w:eastAsia="Arial" w:hAnsi="Arial"/>
          <w:sz w:val="17"/>
          <w:szCs w:val="17"/>
          <w:color w:val="auto"/>
        </w:rPr>
        <w:t xml:space="preserve"> The Company at any time may deliver Securities to the Trustee for cancellation. The Registrar and the Paying Agent shall forward to the Trustee any Securities surrendered to them for registration of transfer, exchange or payment. The Trustee and no one else shall cancel all Securities surrendered for registration of transfer, exchange, payment, replacement or cancellation and dispose of such cancelled Securities in accordance with its customary procedure. The Company may not issue new Securities to replace Securities that it has paid or delivered to the Trustee for cancellation. The Trustee shall not authenticate Securities in place of cancelled Securities other than pursuant to the terms of this Indenture.</w:t>
      </w:r>
    </w:p>
    <w:p>
      <w:pPr>
        <w:spacing w:after="0" w:line="160" w:lineRule="exact"/>
        <w:rPr>
          <w:sz w:val="20"/>
          <w:szCs w:val="20"/>
          <w:color w:val="auto"/>
        </w:rPr>
      </w:pPr>
    </w:p>
    <w:p>
      <w:pPr>
        <w:ind w:right="80" w:firstLine="618"/>
        <w:spacing w:after="0" w:line="244"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or cause to be fixed any such special record date and payment date to the reasonable satisfaction of the Trustee and shall promptly mail or cause to be mailed or deliver by electronic transmission to each Securityholder of the Series a notice that states the special record date, the payment date and the amount of defaulted interest to be paid. The Company may pay defaulted interest in any lawful manner.</w:t>
      </w:r>
    </w:p>
    <w:p>
      <w:pPr>
        <w:spacing w:after="0" w:line="160"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2.14.</w:t>
      </w:r>
      <w:r>
        <w:rPr>
          <w:sz w:val="20"/>
          <w:szCs w:val="20"/>
          <w:color w:val="auto"/>
        </w:rPr>
        <w:tab/>
      </w:r>
      <w:r>
        <w:rPr>
          <w:rFonts w:ascii="Arial" w:cs="Arial" w:eastAsia="Arial" w:hAnsi="Arial"/>
          <w:sz w:val="17"/>
          <w:szCs w:val="17"/>
          <w:i w:val="1"/>
          <w:iCs w:val="1"/>
          <w:color w:val="auto"/>
        </w:rPr>
        <w:t>Registered Global Securities</w:t>
      </w:r>
      <w:r>
        <w:rPr>
          <w:rFonts w:ascii="Arial" w:cs="Arial" w:eastAsia="Arial" w:hAnsi="Arial"/>
          <w:sz w:val="17"/>
          <w:szCs w:val="17"/>
          <w:color w:val="auto"/>
        </w:rPr>
        <w:t>.</w:t>
      </w:r>
    </w:p>
    <w:p>
      <w:pPr>
        <w:spacing w:after="0" w:line="191" w:lineRule="exact"/>
        <w:rPr>
          <w:sz w:val="20"/>
          <w:szCs w:val="20"/>
          <w:color w:val="auto"/>
        </w:rPr>
      </w:pPr>
    </w:p>
    <w:p>
      <w:pPr>
        <w:jc w:val="both"/>
        <w:ind w:right="640" w:firstLine="621"/>
        <w:spacing w:after="0" w:line="255" w:lineRule="auto"/>
        <w:tabs>
          <w:tab w:leader="none" w:pos="971"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Terms of Securities</w:t>
      </w:r>
      <w:r>
        <w:rPr>
          <w:rFonts w:ascii="Arial" w:cs="Arial" w:eastAsia="Arial" w:hAnsi="Arial"/>
          <w:sz w:val="17"/>
          <w:szCs w:val="17"/>
          <w:color w:val="auto"/>
        </w:rPr>
        <w:t>. A Board Resolution, a supplemental indenture hereto or an Officers’ Certificate shall establish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a Series shall be issued in whole or in part in the form of one or more Registered Global Securities and the Depositary for such Registered Global Security or Securities.</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0" w:name="page71"/>
    <w:bookmarkEnd w:id="70"/>
    <w:p>
      <w:pPr>
        <w:ind w:left="980" w:hanging="359"/>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Transfer and Exchange</w:t>
      </w:r>
      <w:r>
        <w:rPr>
          <w:rFonts w:ascii="Arial" w:cs="Arial" w:eastAsia="Arial" w:hAnsi="Arial"/>
          <w:sz w:val="17"/>
          <w:szCs w:val="17"/>
          <w:color w:val="auto"/>
        </w:rPr>
        <w:t>. Notwithstanding any provisions to the contrary contained in Section‎ 2.07 of the Indenture and in addition</w:t>
      </w:r>
    </w:p>
    <w:p>
      <w:pPr>
        <w:spacing w:after="0" w:line="13" w:lineRule="exact"/>
        <w:rPr>
          <w:rFonts w:ascii="Arial" w:cs="Arial" w:eastAsia="Arial" w:hAnsi="Arial"/>
          <w:sz w:val="17"/>
          <w:szCs w:val="17"/>
          <w:color w:val="auto"/>
        </w:rPr>
      </w:pPr>
    </w:p>
    <w:p>
      <w:pPr>
        <w:spacing w:after="0" w:line="239" w:lineRule="auto"/>
        <w:rPr>
          <w:rFonts w:ascii="Arial" w:cs="Arial" w:eastAsia="Arial" w:hAnsi="Arial"/>
          <w:sz w:val="17"/>
          <w:szCs w:val="17"/>
          <w:color w:val="auto"/>
        </w:rPr>
      </w:pPr>
      <w:r>
        <w:rPr>
          <w:rFonts w:ascii="Arial" w:cs="Arial" w:eastAsia="Arial" w:hAnsi="Arial"/>
          <w:sz w:val="17"/>
          <w:szCs w:val="17"/>
          <w:color w:val="auto"/>
        </w:rPr>
        <w:t>thereto, any Registered Global Security shall be exchangeable pursuant to Section‎ 2.07 of the Indenture for Securities registered in the names of Holders other than the Depositary for such Security or its nominee only if (i) such Depositary notifies the Company that it is unwilling or unable to continue as Depositary for such Registered Global Security or if at any time such Depositary ceases to be a clearing agency registered under the Exchange Act, and, in either case, the Company fails to appoint a successor Depositary within 90 days of such event or (ii) the Company executes and delivers to the Trustee an Officers’ Certificate to the effect that such Registered Global Security shall be so exchangeable. Any Registered Global Security that is exchangeable pursuant to the preceding sentence shall be exchangeable for Securities registered in such names as the Depositary shall direct in writing in an aggregate principal amount equal to the principal amount of the Registered Global Security with like tenor and terms.</w:t>
      </w:r>
    </w:p>
    <w:p>
      <w:pPr>
        <w:spacing w:after="0" w:line="165" w:lineRule="exact"/>
        <w:rPr>
          <w:sz w:val="20"/>
          <w:szCs w:val="20"/>
          <w:color w:val="auto"/>
        </w:rPr>
      </w:pPr>
    </w:p>
    <w:p>
      <w:pPr>
        <w:ind w:right="220" w:firstLine="618"/>
        <w:spacing w:after="0" w:line="255" w:lineRule="auto"/>
        <w:rPr>
          <w:sz w:val="20"/>
          <w:szCs w:val="20"/>
          <w:color w:val="auto"/>
        </w:rPr>
      </w:pPr>
      <w:r>
        <w:rPr>
          <w:rFonts w:ascii="Arial" w:cs="Arial" w:eastAsia="Arial" w:hAnsi="Arial"/>
          <w:sz w:val="17"/>
          <w:szCs w:val="17"/>
          <w:color w:val="auto"/>
        </w:rPr>
        <w:t>Except as provided in this Section‎ 2.14(b), a Registered Global Security may not be transferred except as a whole by the Depositary with respect to such Registered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50"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7"/>
          <w:szCs w:val="17"/>
          <w:i w:val="1"/>
          <w:iCs w:val="1"/>
          <w:color w:val="auto"/>
        </w:rPr>
        <w:t>Legend</w:t>
      </w:r>
      <w:r>
        <w:rPr>
          <w:rFonts w:ascii="Arial" w:cs="Arial" w:eastAsia="Arial" w:hAnsi="Arial"/>
          <w:sz w:val="17"/>
          <w:szCs w:val="17"/>
          <w:color w:val="auto"/>
        </w:rPr>
        <w:t>. Any Registered Global Security issued hereunder shall bear a legend in substantially the following form:</w:t>
      </w:r>
    </w:p>
    <w:p>
      <w:pPr>
        <w:spacing w:after="0" w:line="189" w:lineRule="exact"/>
        <w:rPr>
          <w:sz w:val="20"/>
          <w:szCs w:val="20"/>
          <w:color w:val="auto"/>
        </w:rPr>
      </w:pPr>
    </w:p>
    <w:p>
      <w:pPr>
        <w:ind w:left="620" w:right="60"/>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This Security is a Registered Global Security within the meaning of the Indenture hereinafter referred to and is registered in the</w:t>
      </w:r>
      <w:r>
        <w:rPr>
          <w:rFonts w:ascii="Arial" w:cs="Arial" w:eastAsia="Arial" w:hAnsi="Arial"/>
          <w:sz w:val="17"/>
          <w:szCs w:val="17"/>
          <w:color w:val="auto"/>
        </w:rPr>
        <w:t xml:space="preserve"> </w:t>
      </w:r>
      <w:r>
        <w:rPr>
          <w:rFonts w:ascii="Arial" w:cs="Arial" w:eastAsia="Arial" w:hAnsi="Arial"/>
          <w:sz w:val="17"/>
          <w:szCs w:val="17"/>
          <w:b w:val="1"/>
          <w:bCs w:val="1"/>
          <w:color w:val="auto"/>
        </w:rPr>
        <w:t>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r>
        <w:rPr>
          <w:rFonts w:ascii="Arial" w:cs="Arial" w:eastAsia="Arial" w:hAnsi="Arial"/>
          <w:sz w:val="17"/>
          <w:szCs w:val="17"/>
          <w:color w:val="auto"/>
        </w:rPr>
        <w:t>”</w:t>
      </w:r>
    </w:p>
    <w:p>
      <w:pPr>
        <w:spacing w:after="0" w:line="147" w:lineRule="exact"/>
        <w:rPr>
          <w:sz w:val="20"/>
          <w:szCs w:val="20"/>
          <w:color w:val="auto"/>
        </w:rPr>
      </w:pPr>
    </w:p>
    <w:p>
      <w:pPr>
        <w:ind w:right="360" w:firstLine="621"/>
        <w:spacing w:after="0" w:line="273" w:lineRule="auto"/>
        <w:tabs>
          <w:tab w:leader="none" w:pos="971"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Acts of Holders</w:t>
      </w:r>
      <w:r>
        <w:rPr>
          <w:rFonts w:ascii="Arial" w:cs="Arial" w:eastAsia="Arial" w:hAnsi="Arial"/>
          <w:sz w:val="17"/>
          <w:szCs w:val="17"/>
          <w:color w:val="auto"/>
        </w:rPr>
        <w:t>. The Depositary, as a Holder, may appoint agents and otherwise authorize participants to give or take any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authorization, direction, notice, consent, waiver or other action which a Holder is entitled to give or take under the Indenture.</w:t>
      </w:r>
    </w:p>
    <w:p>
      <w:pPr>
        <w:spacing w:after="0" w:line="134" w:lineRule="exact"/>
        <w:rPr>
          <w:rFonts w:ascii="Arial" w:cs="Arial" w:eastAsia="Arial" w:hAnsi="Arial"/>
          <w:sz w:val="17"/>
          <w:szCs w:val="17"/>
          <w:color w:val="auto"/>
        </w:rPr>
      </w:pPr>
    </w:p>
    <w:p>
      <w:pPr>
        <w:ind w:right="660" w:firstLine="621"/>
        <w:spacing w:after="0" w:line="273" w:lineRule="auto"/>
        <w:tabs>
          <w:tab w:leader="none" w:pos="971"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Payments</w:t>
      </w:r>
      <w:r>
        <w:rPr>
          <w:rFonts w:ascii="Arial" w:cs="Arial" w:eastAsia="Arial" w:hAnsi="Arial"/>
          <w:sz w:val="17"/>
          <w:szCs w:val="17"/>
          <w:color w:val="auto"/>
        </w:rPr>
        <w:t>. Notwithstanding the other provisions of this Indenture, unless otherwise specified as contemplated by Section‎ 2.02,</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the principal of and interest, if any, on any Registered Global Security shall be made to the Holder thereof.</w:t>
      </w:r>
    </w:p>
    <w:p>
      <w:pPr>
        <w:spacing w:after="0" w:line="134" w:lineRule="exact"/>
        <w:rPr>
          <w:rFonts w:ascii="Arial" w:cs="Arial" w:eastAsia="Arial" w:hAnsi="Arial"/>
          <w:sz w:val="17"/>
          <w:szCs w:val="17"/>
          <w:color w:val="auto"/>
        </w:rPr>
      </w:pPr>
    </w:p>
    <w:p>
      <w:pPr>
        <w:jc w:val="both"/>
        <w:ind w:right="340" w:firstLine="621"/>
        <w:spacing w:after="0" w:line="249" w:lineRule="auto"/>
        <w:tabs>
          <w:tab w:leader="none" w:pos="923"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Consents, Declaration and Directions</w:t>
      </w:r>
      <w:r>
        <w:rPr>
          <w:rFonts w:ascii="Arial" w:cs="Arial" w:eastAsia="Arial" w:hAnsi="Arial"/>
          <w:sz w:val="17"/>
          <w:szCs w:val="17"/>
          <w:color w:val="auto"/>
        </w:rPr>
        <w:t>. Except as provided in Section‎ 2.14(d), the Company, the Trustee and any Agent shall treat a</w:t>
      </w:r>
      <w:r>
        <w:rPr>
          <w:rFonts w:ascii="Arial" w:cs="Arial" w:eastAsia="Arial" w:hAnsi="Arial"/>
          <w:sz w:val="17"/>
          <w:szCs w:val="17"/>
          <w:i w:val="1"/>
          <w:iCs w:val="1"/>
          <w:color w:val="auto"/>
        </w:rPr>
        <w:t xml:space="preserve"> </w:t>
      </w:r>
      <w:r>
        <w:rPr>
          <w:rFonts w:ascii="Arial" w:cs="Arial" w:eastAsia="Arial" w:hAnsi="Arial"/>
          <w:sz w:val="17"/>
          <w:szCs w:val="17"/>
          <w:color w:val="auto"/>
        </w:rPr>
        <w:t>Person as the Holder of such principal amount of outstanding Securities of such Series represented by a Registered Global Security as shall be specified in a written statement of the Depositary with respect to such Registered Global Security, for purposes of obtaining any consents, declarations, waivers or directions required to be given by the Holders pursuant to this Indenture.</w:t>
      </w:r>
    </w:p>
    <w:p>
      <w:pPr>
        <w:spacing w:after="0" w:line="155" w:lineRule="exact"/>
        <w:rPr>
          <w:sz w:val="20"/>
          <w:szCs w:val="20"/>
          <w:color w:val="auto"/>
        </w:rPr>
      </w:pPr>
    </w:p>
    <w:p>
      <w:pPr>
        <w:ind w:right="120" w:firstLine="618"/>
        <w:spacing w:after="0" w:line="273"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i w:val="1"/>
          <w:iCs w:val="1"/>
          <w:color w:val="auto"/>
        </w:rPr>
        <w:t>Computation of Interest.</w:t>
      </w:r>
      <w:r>
        <w:rPr>
          <w:rFonts w:ascii="Arial" w:cs="Arial" w:eastAsia="Arial" w:hAnsi="Arial"/>
          <w:sz w:val="17"/>
          <w:szCs w:val="17"/>
          <w:color w:val="auto"/>
        </w:rPr>
        <w:t xml:space="preserve"> Except as otherwise specified pursuant to Section‎ 2.02 for Securities of any Series, interest on the Securities of each Series shall be computed on the basis of a 360-day year of twelve 30-day months.</w:t>
      </w:r>
    </w:p>
    <w:p>
      <w:pPr>
        <w:spacing w:after="0" w:line="135" w:lineRule="exact"/>
        <w:rPr>
          <w:sz w:val="20"/>
          <w:szCs w:val="20"/>
          <w:color w:val="auto"/>
        </w:rPr>
      </w:pPr>
    </w:p>
    <w:p>
      <w:pPr>
        <w:ind w:right="20" w:firstLine="618"/>
        <w:spacing w:after="0" w:line="246"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i w:val="1"/>
          <w:iCs w:val="1"/>
          <w:color w:val="auto"/>
        </w:rPr>
        <w:t>CUSIP and ISIN Numbers.</w:t>
      </w:r>
      <w:r>
        <w:rPr>
          <w:rFonts w:ascii="Arial" w:cs="Arial" w:eastAsia="Arial" w:hAnsi="Arial"/>
          <w:sz w:val="17"/>
          <w:szCs w:val="17"/>
          <w:color w:val="auto"/>
        </w:rPr>
        <w:t xml:space="preserve"> The Company in issuing the Securities may use “CUSIP” and “ISIN” numbers (if then generally in use), and, if so, the Trustee shall use “CUSIP” and “ISIN”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1" w:name="page72"/>
    <w:bookmarkEnd w:id="71"/>
    <w:p>
      <w:pPr>
        <w:ind w:right="440"/>
        <w:spacing w:after="0" w:line="273" w:lineRule="auto"/>
        <w:rPr>
          <w:sz w:val="20"/>
          <w:szCs w:val="20"/>
          <w:color w:val="auto"/>
        </w:rPr>
      </w:pPr>
      <w:r>
        <w:rPr>
          <w:rFonts w:ascii="Arial" w:cs="Arial" w:eastAsia="Arial" w:hAnsi="Arial"/>
          <w:sz w:val="17"/>
          <w:szCs w:val="17"/>
          <w:color w:val="auto"/>
        </w:rPr>
        <w:t>by any defect in or omission of such numbers. The Company shall promptly notify the Trustee in writing of any changes to the CUSIP and ISIN numbers.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w:t>
      </w:r>
      <w:r>
        <w:rPr>
          <w:rFonts w:ascii="Arial" w:cs="Arial" w:eastAsia="Arial" w:hAnsi="Arial"/>
          <w:sz w:val="11"/>
          <w:szCs w:val="11"/>
          <w:color w:val="auto"/>
        </w:rPr>
        <w:t>edemption</w:t>
      </w:r>
    </w:p>
    <w:p>
      <w:pPr>
        <w:spacing w:after="0" w:line="175" w:lineRule="exact"/>
        <w:rPr>
          <w:sz w:val="20"/>
          <w:szCs w:val="20"/>
          <w:color w:val="auto"/>
        </w:rPr>
      </w:pPr>
    </w:p>
    <w:p>
      <w:pPr>
        <w:ind w:right="40" w:firstLine="618"/>
        <w:spacing w:after="0" w:line="244"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Notice to Trustee</w:t>
      </w:r>
      <w:r>
        <w:rPr>
          <w:rFonts w:ascii="Arial" w:cs="Arial" w:eastAsia="Arial" w:hAnsi="Arial"/>
          <w:sz w:val="17"/>
          <w:szCs w:val="17"/>
          <w:color w:val="auto"/>
        </w:rPr>
        <w:t>.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35 calendar days before the redemption date (or such shorter notice as may be acceptable to the Trustee).</w:t>
      </w:r>
    </w:p>
    <w:p>
      <w:pPr>
        <w:spacing w:after="0" w:line="160" w:lineRule="exact"/>
        <w:rPr>
          <w:sz w:val="20"/>
          <w:szCs w:val="20"/>
          <w:color w:val="auto"/>
        </w:rPr>
      </w:pPr>
    </w:p>
    <w:p>
      <w:pPr>
        <w:ind w:firstLine="618"/>
        <w:spacing w:after="0" w:line="242"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Selection of Securities to Be Redeemed</w:t>
      </w:r>
      <w:r>
        <w:rPr>
          <w:rFonts w:ascii="Arial" w:cs="Arial" w:eastAsia="Arial" w:hAnsi="Arial"/>
          <w:sz w:val="17"/>
          <w:szCs w:val="17"/>
          <w:color w:val="auto"/>
        </w:rPr>
        <w:t>. Unless otherwise indicated for a particular Series by a Board Resolution, a supplemental indenture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62" w:lineRule="exact"/>
        <w:rPr>
          <w:sz w:val="20"/>
          <w:szCs w:val="20"/>
          <w:color w:val="auto"/>
        </w:rPr>
      </w:pPr>
    </w:p>
    <w:p>
      <w:pPr>
        <w:ind w:right="400" w:firstLine="618"/>
        <w:spacing w:after="0" w:line="24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Notice of Redemption</w:t>
      </w:r>
      <w:r>
        <w:rPr>
          <w:rFonts w:ascii="Arial" w:cs="Arial" w:eastAsia="Arial" w:hAnsi="Arial"/>
          <w:sz w:val="17"/>
          <w:szCs w:val="17"/>
          <w:color w:val="auto"/>
        </w:rPr>
        <w:t>. Unless otherwise indicated for a particular Series by Board Resolution, a supplemental indenture hereto or an Officers’ Certificate, at least 10 days but not more than 60 days before a redemption date, the Company shall provide a notice of redemption by electronic transmission or first-class mail to each Holder whose Securities are to be redeemed and if any Bearer Securities are outstanding, publish on one occasion a notice in an Authorized Newspaper.</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notice shall identify the Securities of the Series to be redeemed and shall state:</w:t>
      </w:r>
    </w:p>
    <w:p>
      <w:pPr>
        <w:spacing w:after="0" w:line="191" w:lineRule="exact"/>
        <w:rPr>
          <w:sz w:val="20"/>
          <w:szCs w:val="20"/>
          <w:color w:val="auto"/>
        </w:rPr>
      </w:pPr>
    </w:p>
    <w:p>
      <w:pPr>
        <w:ind w:left="980" w:hanging="359"/>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redemption date;</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redemption price, or if not then ascertainable, the manner of calculation thereof;</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name and address of the Paying Agent;</w:t>
      </w:r>
    </w:p>
    <w:p>
      <w:pPr>
        <w:spacing w:after="0" w:line="190" w:lineRule="exact"/>
        <w:rPr>
          <w:rFonts w:ascii="Arial" w:cs="Arial" w:eastAsia="Arial" w:hAnsi="Arial"/>
          <w:sz w:val="17"/>
          <w:szCs w:val="17"/>
          <w:color w:val="auto"/>
        </w:rPr>
      </w:pPr>
    </w:p>
    <w:p>
      <w:pPr>
        <w:ind w:right="20" w:firstLine="621"/>
        <w:spacing w:after="0" w:line="273" w:lineRule="auto"/>
        <w:tabs>
          <w:tab w:leader="none" w:pos="97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less than all Securities of any Series are to be redeemed, the identification of the particular Securities to be redeemed and the portion of the principal amount of any Security to be redeemed in part;</w:t>
      </w:r>
    </w:p>
    <w:p>
      <w:pPr>
        <w:spacing w:after="0" w:line="134" w:lineRule="exact"/>
        <w:rPr>
          <w:rFonts w:ascii="Arial" w:cs="Arial" w:eastAsia="Arial" w:hAnsi="Arial"/>
          <w:sz w:val="17"/>
          <w:szCs w:val="17"/>
          <w:color w:val="auto"/>
        </w:rPr>
      </w:pPr>
    </w:p>
    <w:p>
      <w:pPr>
        <w:ind w:left="980" w:hanging="359"/>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190" w:lineRule="exact"/>
        <w:rPr>
          <w:rFonts w:ascii="Arial" w:cs="Arial" w:eastAsia="Arial" w:hAnsi="Arial"/>
          <w:sz w:val="17"/>
          <w:szCs w:val="17"/>
          <w:color w:val="auto"/>
        </w:rPr>
      </w:pPr>
    </w:p>
    <w:p>
      <w:pPr>
        <w:ind w:left="920" w:hanging="299"/>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that interest on Securities of the Series called for redemption ceases to accrue on and after the redemption date;</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nature of any conditions precedent to the Company’s obligation to redeem the Securities on the redemption date; and</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2" w:name="page73"/>
    <w:bookmarkEnd w:id="72"/>
    <w:p>
      <w:pPr>
        <w:ind w:right="220" w:firstLine="618"/>
        <w:spacing w:after="0" w:line="273" w:lineRule="auto"/>
        <w:rPr>
          <w:sz w:val="20"/>
          <w:szCs w:val="20"/>
          <w:color w:val="auto"/>
        </w:rPr>
      </w:pPr>
      <w:r>
        <w:rPr>
          <w:rFonts w:ascii="Arial" w:cs="Arial" w:eastAsia="Arial" w:hAnsi="Arial"/>
          <w:sz w:val="17"/>
          <w:szCs w:val="17"/>
          <w:color w:val="auto"/>
        </w:rPr>
        <w:t>At the Company’s written request, the Trustee shall give the notice of redemption in the Company’s name and at the Company’s expense and provided that the form and content of such notice shall be prepared by the Company.</w:t>
      </w:r>
    </w:p>
    <w:p>
      <w:pPr>
        <w:spacing w:after="0" w:line="133" w:lineRule="exact"/>
        <w:rPr>
          <w:sz w:val="20"/>
          <w:szCs w:val="20"/>
          <w:color w:val="auto"/>
        </w:rPr>
      </w:pPr>
    </w:p>
    <w:p>
      <w:pPr>
        <w:ind w:right="180" w:firstLine="618"/>
        <w:spacing w:after="0" w:line="256"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Effect of Notice of Redemption.</w:t>
      </w:r>
      <w:r>
        <w:rPr>
          <w:rFonts w:ascii="Arial" w:cs="Arial" w:eastAsia="Arial" w:hAnsi="Arial"/>
          <w:sz w:val="17"/>
          <w:szCs w:val="17"/>
          <w:color w:val="auto"/>
        </w:rPr>
        <w:t xml:space="preserve"> Once notice of redemption is transmitted, mailed or published as provided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3.03</w:t>
      </w:r>
      <w:r>
        <w:rPr>
          <w:rFonts w:ascii="Arial" w:cs="Arial" w:eastAsia="Arial" w:hAnsi="Arial"/>
          <w:sz w:val="17"/>
          <w:szCs w:val="17"/>
          <w:color w:val="auto"/>
        </w:rPr>
        <w:t>, Securities of a Series called for redemption become due and payable on the redemption date and at the redemption price. Upon surrender to the Paying Agent, such Securities shall be paid at the redemption price plus accrued interest to, but excluding, the redemption date.</w:t>
      </w:r>
    </w:p>
    <w:p>
      <w:pPr>
        <w:spacing w:after="0" w:line="149" w:lineRule="exact"/>
        <w:rPr>
          <w:sz w:val="20"/>
          <w:szCs w:val="20"/>
          <w:color w:val="auto"/>
        </w:rPr>
      </w:pPr>
    </w:p>
    <w:p>
      <w:pPr>
        <w:ind w:right="260" w:firstLine="618"/>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Deposit of Redemption Price</w:t>
      </w:r>
      <w:r>
        <w:rPr>
          <w:rFonts w:ascii="Arial" w:cs="Arial" w:eastAsia="Arial" w:hAnsi="Arial"/>
          <w:sz w:val="17"/>
          <w:szCs w:val="17"/>
          <w:color w:val="auto"/>
        </w:rPr>
        <w:t>. On or before the redemption date, the Company shall deposit with the Paying Agent money sufficient to pay the redemption price of and accrued interest, if any, on all Securities to be redeemed on that date.</w:t>
      </w:r>
    </w:p>
    <w:p>
      <w:pPr>
        <w:spacing w:after="0" w:line="135" w:lineRule="exact"/>
        <w:rPr>
          <w:sz w:val="20"/>
          <w:szCs w:val="20"/>
          <w:color w:val="auto"/>
        </w:rPr>
      </w:pPr>
    </w:p>
    <w:p>
      <w:pPr>
        <w:ind w:right="160" w:firstLine="618"/>
        <w:spacing w:after="0" w:line="273"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i w:val="1"/>
          <w:iCs w:val="1"/>
          <w:color w:val="auto"/>
        </w:rPr>
        <w:t>Securities Redeemed in Part.</w:t>
      </w:r>
      <w:r>
        <w:rPr>
          <w:rFonts w:ascii="Arial" w:cs="Arial" w:eastAsia="Arial" w:hAnsi="Arial"/>
          <w:sz w:val="17"/>
          <w:szCs w:val="17"/>
          <w:color w:val="auto"/>
        </w:rPr>
        <w:t xml:space="preserve"> Upon surrender of a Security that is redeemed in part, the Trustee shall authenticate for the Holder a new Security of the same Series and the same maturity equal in principal amount to the unredeemed portion of the Security surrendered.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ovenants</w:t>
      </w:r>
    </w:p>
    <w:p>
      <w:pPr>
        <w:spacing w:after="0" w:line="175" w:lineRule="exact"/>
        <w:rPr>
          <w:sz w:val="20"/>
          <w:szCs w:val="20"/>
          <w:color w:val="auto"/>
        </w:rPr>
      </w:pPr>
    </w:p>
    <w:p>
      <w:pPr>
        <w:ind w:right="360" w:firstLine="618"/>
        <w:spacing w:after="0" w:line="27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The Company shall duly and punctually pay the principal of and interest, if any, on the Securities of that Series in accordance with the terms of such Securities and this Indenture.</w:t>
      </w:r>
    </w:p>
    <w:p>
      <w:pPr>
        <w:spacing w:after="0" w:line="135" w:lineRule="exact"/>
        <w:rPr>
          <w:sz w:val="20"/>
          <w:szCs w:val="20"/>
          <w:color w:val="auto"/>
        </w:rPr>
      </w:pPr>
    </w:p>
    <w:p>
      <w:pPr>
        <w:ind w:firstLine="618"/>
        <w:spacing w:after="0" w:line="244"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SEC Reports</w:t>
      </w:r>
      <w:r>
        <w:rPr>
          <w:rFonts w:ascii="Arial" w:cs="Arial" w:eastAsia="Arial" w:hAnsi="Arial"/>
          <w:sz w:val="17"/>
          <w:szCs w:val="17"/>
          <w:color w:val="auto"/>
        </w:rPr>
        <w:t>. The Company shall furnish to the Trustee within 15 days after the filing by the Company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The Company will be deemed to have furnished such reports referred to in this Section to the Trustee if the Company has filed such reports with the SEC via the EDGAR filing system (or any successor thereto) and such reports are publicly available.</w:t>
      </w:r>
    </w:p>
    <w:p>
      <w:pPr>
        <w:spacing w:after="0" w:line="160" w:lineRule="exact"/>
        <w:rPr>
          <w:sz w:val="20"/>
          <w:szCs w:val="20"/>
          <w:color w:val="auto"/>
        </w:rPr>
      </w:pPr>
    </w:p>
    <w:p>
      <w:pPr>
        <w:ind w:right="20" w:firstLine="618"/>
        <w:spacing w:after="0" w:line="24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Compliance Certificate</w:t>
      </w:r>
      <w:r>
        <w:rPr>
          <w:rFonts w:ascii="Arial" w:cs="Arial" w:eastAsia="Arial" w:hAnsi="Arial"/>
          <w:sz w:val="17"/>
          <w:szCs w:val="17"/>
          <w:color w:val="auto"/>
        </w:rPr>
        <w:t>. The Company shall deliver to the Trustee, within 120 days after the end of each fiscal year of the Company, a brief certificate from the principal executive officer, principal financial officer, principal accounting officer or vice president or treasurer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w:t>
      </w:r>
      <w:r>
        <w:rPr>
          <w:rFonts w:ascii="Arial" w:cs="Arial" w:eastAsia="Arial" w:hAnsi="Arial"/>
          <w:sz w:val="17"/>
          <w:szCs w:val="17"/>
          <w:b w:val="1"/>
          <w:bCs w:val="1"/>
          <w:color w:val="auto"/>
        </w:rPr>
        <w:t>Section 11.05 of this</w:t>
      </w:r>
    </w:p>
    <w:p>
      <w:pPr>
        <w:spacing w:after="0"/>
        <w:rPr>
          <w:sz w:val="20"/>
          <w:szCs w:val="20"/>
          <w:color w:val="auto"/>
        </w:rPr>
      </w:pPr>
      <w:r>
        <w:rPr>
          <w:rFonts w:ascii="Arial" w:cs="Arial" w:eastAsia="Arial" w:hAnsi="Arial"/>
          <w:sz w:val="17"/>
          <w:szCs w:val="17"/>
          <w:b w:val="1"/>
          <w:bCs w:val="1"/>
          <w:color w:val="auto"/>
        </w:rPr>
        <w:t>Indenture.</w:t>
      </w:r>
    </w:p>
    <w:p>
      <w:pPr>
        <w:spacing w:after="0" w:line="175" w:lineRule="exact"/>
        <w:rPr>
          <w:sz w:val="20"/>
          <w:szCs w:val="20"/>
          <w:color w:val="auto"/>
        </w:rPr>
      </w:pPr>
    </w:p>
    <w:p>
      <w:pPr>
        <w:ind w:right="60" w:firstLine="618"/>
        <w:spacing w:after="0" w:line="244"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Stay, Extension and Usury Laws</w:t>
      </w:r>
      <w:r>
        <w:rPr>
          <w:rFonts w:ascii="Arial" w:cs="Arial" w:eastAsia="Arial" w:hAnsi="Arial"/>
          <w:sz w:val="17"/>
          <w:szCs w:val="17"/>
          <w:color w:val="auto"/>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0" w:lineRule="exact"/>
        <w:rPr>
          <w:sz w:val="20"/>
          <w:szCs w:val="20"/>
          <w:color w:val="auto"/>
        </w:rPr>
      </w:pPr>
    </w:p>
    <w:p>
      <w:pPr>
        <w:ind w:right="200" w:firstLine="618"/>
        <w:spacing w:after="0" w:line="24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Corporate Existence.</w:t>
      </w:r>
      <w:r>
        <w:rPr>
          <w:rFonts w:ascii="Arial" w:cs="Arial" w:eastAsia="Arial" w:hAnsi="Arial"/>
          <w:sz w:val="17"/>
          <w:szCs w:val="17"/>
          <w:color w:val="auto"/>
        </w:rPr>
        <w:t xml:space="preserve"> Subject to Article‎ 5, the Company will do or cause to be done all things necessary to preserve and keep in full force and effect its corporate existence and the rights (constitutional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Company and its Subsidiaries taken as a whole and that the loss thereof is not adverse in any material respect to the Holders.</w:t>
      </w:r>
    </w:p>
    <w:p>
      <w:pPr>
        <w:spacing w:after="0" w:line="191" w:lineRule="exact"/>
        <w:rPr>
          <w:sz w:val="20"/>
          <w:szCs w:val="20"/>
          <w:color w:val="auto"/>
        </w:rPr>
      </w:pPr>
    </w:p>
    <w:p>
      <w:pPr>
        <w:ind w:right="100" w:firstLine="618"/>
        <w:spacing w:after="0" w:line="244"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The Company will maintain an office or agency in the United States, where the Securities of a Series may be surrendered for registration of transfer or exchange or for presentation for payment and where notices and demands to or upon the Company in respect of the Securities of a Series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w:t>
      </w:r>
    </w:p>
    <w:p>
      <w:pPr>
        <w:spacing w:after="0" w:line="160" w:lineRule="exact"/>
        <w:rPr>
          <w:sz w:val="20"/>
          <w:szCs w:val="20"/>
          <w:color w:val="auto"/>
        </w:rPr>
      </w:pPr>
    </w:p>
    <w:p>
      <w:pPr>
        <w:ind w:right="40" w:firstLine="618"/>
        <w:spacing w:after="0" w:line="255" w:lineRule="auto"/>
        <w:rPr>
          <w:sz w:val="20"/>
          <w:szCs w:val="20"/>
          <w:color w:val="auto"/>
        </w:rPr>
      </w:pPr>
      <w:r>
        <w:rPr>
          <w:rFonts w:ascii="Arial" w:cs="Arial" w:eastAsia="Arial" w:hAnsi="Arial"/>
          <w:sz w:val="17"/>
          <w:szCs w:val="17"/>
          <w:color w:val="auto"/>
        </w:rPr>
        <w:t>The Company may also from time to time designate co-registrars and one or more offices or agencies where the Securities of a Series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50" w:lineRule="exact"/>
        <w:rPr>
          <w:sz w:val="20"/>
          <w:szCs w:val="20"/>
          <w:color w:val="auto"/>
        </w:rPr>
      </w:pPr>
    </w:p>
    <w:p>
      <w:pPr>
        <w:ind w:firstLine="618"/>
        <w:spacing w:after="0" w:line="244"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Money for Securities Payments to Be Held in Trust.</w:t>
      </w:r>
      <w:r>
        <w:rPr>
          <w:rFonts w:ascii="Arial" w:cs="Arial" w:eastAsia="Arial" w:hAnsi="Arial"/>
          <w:sz w:val="17"/>
          <w:szCs w:val="17"/>
          <w:color w:val="auto"/>
        </w:rPr>
        <w:t xml:space="preserve"> If the Company shall at any time act as its own Paying Agent with respect to the Securities of any Series, it shall, on or before each due date of the principal of and premium, if any, and interest, if any, on any of such Securities, segregate and hold in trust for the benefit of the Persons entitled thereto a sum sufficient to pay the principal and premium or interest so becoming due until such sums shall be paid to such Persons or otherwise disposed of as herein provided. The Company shall promptly notify the Trustee of any failure by the Company (or any other obligor of such Securities) to make any payment of principal of or premium, if any, or interest, if any, on such Securities.</w:t>
      </w:r>
    </w:p>
    <w:p>
      <w:pPr>
        <w:spacing w:after="0" w:line="160" w:lineRule="exact"/>
        <w:rPr>
          <w:sz w:val="20"/>
          <w:szCs w:val="20"/>
          <w:color w:val="auto"/>
        </w:rPr>
      </w:pPr>
    </w:p>
    <w:p>
      <w:pPr>
        <w:ind w:right="20" w:firstLine="618"/>
        <w:spacing w:after="0" w:line="249" w:lineRule="auto"/>
        <w:rPr>
          <w:sz w:val="20"/>
          <w:szCs w:val="20"/>
          <w:color w:val="auto"/>
        </w:rPr>
      </w:pPr>
      <w:r>
        <w:rPr>
          <w:rFonts w:ascii="Arial" w:cs="Arial" w:eastAsia="Arial" w:hAnsi="Arial"/>
          <w:sz w:val="17"/>
          <w:szCs w:val="17"/>
          <w:color w:val="auto"/>
        </w:rPr>
        <w:t>Whenever the Company shall have one or more Paying Agents for the Securities of any Series, it shall, on or before each due date of the principal of and premium, if any, and interest, if any, on such Securities, deposit with such Paying Agents sums sufficient (without duplication) to pay the principal and premium or interest so becoming due, such sums to be held in trust for the benefit of the Persons entitled to such principal, premium or interest, and (unless such Paying Agent is the Trustee) the Company shall promptly notify the Trustee of any failure by it so to act.</w:t>
      </w:r>
    </w:p>
    <w:p>
      <w:pPr>
        <w:spacing w:after="0" w:line="155" w:lineRule="exact"/>
        <w:rPr>
          <w:sz w:val="20"/>
          <w:szCs w:val="20"/>
          <w:color w:val="auto"/>
        </w:rPr>
      </w:pPr>
    </w:p>
    <w:p>
      <w:pPr>
        <w:jc w:val="both"/>
        <w:ind w:right="380" w:firstLine="618"/>
        <w:spacing w:after="0" w:line="255" w:lineRule="auto"/>
        <w:rPr>
          <w:sz w:val="20"/>
          <w:szCs w:val="20"/>
          <w:color w:val="auto"/>
        </w:rPr>
      </w:pPr>
      <w:r>
        <w:rPr>
          <w:rFonts w:ascii="Arial" w:cs="Arial" w:eastAsia="Arial" w:hAnsi="Arial"/>
          <w:sz w:val="17"/>
          <w:szCs w:val="17"/>
          <w:color w:val="auto"/>
        </w:rPr>
        <w:t>The Company shall cause each Paying Agent for the Securities of any Series, other than the Company or the Trustee, to execute and deliver to the Trustee an instrument in which such Paying Agent shall agree with the Trustee, subject to the provisions of this Section, that such Paying Agent shall:</w:t>
      </w:r>
    </w:p>
    <w:p>
      <w:pPr>
        <w:spacing w:after="0" w:line="150" w:lineRule="exact"/>
        <w:rPr>
          <w:sz w:val="20"/>
          <w:szCs w:val="20"/>
          <w:color w:val="auto"/>
        </w:rPr>
      </w:pPr>
    </w:p>
    <w:p>
      <w:pPr>
        <w:ind w:left="620" w:right="100" w:firstLine="928"/>
        <w:spacing w:after="0" w:line="273" w:lineRule="auto"/>
        <w:tabs>
          <w:tab w:leader="none" w:pos="1842" w:val="left"/>
        </w:tabs>
        <w:numPr>
          <w:ilvl w:val="0"/>
          <w:numId w:val="44"/>
        </w:numPr>
        <w:rPr>
          <w:rFonts w:ascii="Arial" w:cs="Arial" w:eastAsia="Arial" w:hAnsi="Arial"/>
          <w:sz w:val="17"/>
          <w:szCs w:val="17"/>
          <w:color w:val="auto"/>
        </w:rPr>
      </w:pPr>
      <w:r>
        <w:rPr>
          <w:rFonts w:ascii="Arial" w:cs="Arial" w:eastAsia="Arial" w:hAnsi="Arial"/>
          <w:sz w:val="17"/>
          <w:szCs w:val="17"/>
          <w:color w:val="auto"/>
        </w:rPr>
        <w:t>hold all sums held by it for the payment of the principal of and premium, if any, or interest, if any, on such Securities in trust for the benefit of the Persons entitled thereto until such sums shall be paid to such Persons or otherwise disposed of as herein provided;</w:t>
      </w:r>
    </w:p>
    <w:p>
      <w:pPr>
        <w:spacing w:after="0" w:line="134" w:lineRule="exact"/>
        <w:rPr>
          <w:rFonts w:ascii="Arial" w:cs="Arial" w:eastAsia="Arial" w:hAnsi="Arial"/>
          <w:sz w:val="17"/>
          <w:szCs w:val="17"/>
          <w:color w:val="auto"/>
        </w:rPr>
      </w:pPr>
    </w:p>
    <w:p>
      <w:pPr>
        <w:ind w:left="620" w:right="120" w:firstLine="928"/>
        <w:spacing w:after="0" w:line="273" w:lineRule="auto"/>
        <w:tabs>
          <w:tab w:leader="none" w:pos="18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give the Trustee notice of any failure by the Company (or any other obligor upon such Securities) to make any payment of principal of or premium, if any, or interest, if any, on such Securities; and</w:t>
      </w:r>
    </w:p>
    <w:p>
      <w:pPr>
        <w:spacing w:after="0" w:line="134" w:lineRule="exact"/>
        <w:rPr>
          <w:rFonts w:ascii="Arial" w:cs="Arial" w:eastAsia="Arial" w:hAnsi="Arial"/>
          <w:sz w:val="17"/>
          <w:szCs w:val="17"/>
          <w:color w:val="auto"/>
        </w:rPr>
      </w:pPr>
    </w:p>
    <w:p>
      <w:pPr>
        <w:ind w:left="620" w:right="20" w:firstLine="928"/>
        <w:spacing w:after="0" w:line="255" w:lineRule="auto"/>
        <w:tabs>
          <w:tab w:leader="none" w:pos="1919"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any time during the continuance of any such failure, upon the written request of the Trustee, forthwith pay to the Trustee all sums so held in trust by such Paying Agent and furnish to the Trustee such information as it possesses regarding the names and addresses of the Persons entitled to such sums.</w:t>
      </w:r>
    </w:p>
    <w:p>
      <w:pPr>
        <w:spacing w:after="0" w:line="150" w:lineRule="exact"/>
        <w:rPr>
          <w:sz w:val="20"/>
          <w:szCs w:val="20"/>
          <w:color w:val="auto"/>
        </w:rPr>
      </w:pPr>
    </w:p>
    <w:p>
      <w:pPr>
        <w:ind w:right="200" w:firstLine="618"/>
        <w:spacing w:after="0" w:line="249" w:lineRule="auto"/>
        <w:rPr>
          <w:sz w:val="20"/>
          <w:szCs w:val="20"/>
          <w:color w:val="auto"/>
        </w:rPr>
      </w:pPr>
      <w:r>
        <w:rPr>
          <w:rFonts w:ascii="Arial" w:cs="Arial" w:eastAsia="Arial" w:hAnsi="Arial"/>
          <w:sz w:val="17"/>
          <w:szCs w:val="17"/>
          <w:color w:val="auto"/>
        </w:rPr>
        <w:t>The Company may at any time pay, or by Company Order direct any Paying Agent to pay, to the Trustee all sums held in trust by the Company or such Paying Agent, such sums to be held by the Trustee upon the same trusts as those upon which such sums were held by the Company or such Paying Agent and, if so stated in a Company Order delivered to the Trustee, in accordance with the provisions of ‎Article 8; and, upon such payment by any Paying Agent to the Trustee, such Paying Agent shall be released from all further liability with respect to such money.</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4" w:name="page75"/>
    <w:bookmarkEnd w:id="74"/>
    <w:p>
      <w:pPr>
        <w:ind w:firstLine="618"/>
        <w:spacing w:after="0" w:line="241"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and premium, if any, or interest, if any, on any Security and remaining unclaimed for two years after such principal and premium, if any, or interest, if any, has become due and payable shall be paid to the Company on request of the Company, or, if then held by the Company, shall be discharged from such trust; and, upon such payment or discharge, the Holder of such Security shall, as an unsecured general creditor and not as the Holder of an outstanding Security, look only to the Company for payment of the amount so due and payable and remaining unpaid, and all liability of the Trustee or such Paying Agent with respect to such trust money, and all liability of the Company as trustee thereof, shall thereupon cease; provided, however, that the Trustee or such Paying Agent, before being required to make any such payment to the Company, may at the expense of the Company cause to be published once a week for two successive weeks, in each case on any day of the week, in an Authorized Newspaper in each Place of Payment, notice that such money remains unclaimed and that, after a date specified therein, which shall not be less than 30 days from the date of such publication, any unclaimed balance of such money then remaining will be paid to the Company.</w:t>
      </w:r>
    </w:p>
    <w:p>
      <w:pPr>
        <w:spacing w:after="0" w:line="162" w:lineRule="exact"/>
        <w:rPr>
          <w:sz w:val="20"/>
          <w:szCs w:val="20"/>
          <w:color w:val="auto"/>
        </w:rPr>
      </w:pPr>
    </w:p>
    <w:p>
      <w:pPr>
        <w:ind w:firstLine="618"/>
        <w:spacing w:after="0" w:line="243"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i w:val="1"/>
          <w:iCs w:val="1"/>
          <w:color w:val="auto"/>
        </w:rPr>
        <w:t>Waiver of Certain Covenants</w:t>
      </w:r>
      <w:r>
        <w:rPr>
          <w:rFonts w:ascii="Arial" w:cs="Arial" w:eastAsia="Arial" w:hAnsi="Arial"/>
          <w:sz w:val="17"/>
          <w:szCs w:val="17"/>
          <w:color w:val="auto"/>
        </w:rPr>
        <w:t>. Except as otherwise specified as contemplated by Section‎ 2.02 for Securities of such Series, the Company may, with respect to the Securities of any Series, omit in any particular instance to comply with any term, provision or condition set forth in any covenant provided herein or pursuant to ‎Section 2.02(s) or ‎Section 9.01(c) for the benefit of the Holders of such Series if before the time for such compliance the Holders of at least 50% in principal amount of the outstanding Securities of such Series shall, by an Act of such Holders, either waive such compliance in such instance or generally waive compliance with such term, provision or condition, but no such wavier shall extend to or affect such term, provision or condition except to the extent so expressly waived, and, until such waiver shall become effective, the obligations of the Company and the duties of the Trustee in respect of such term, provision or condition shall remain in full force and effect.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uccessors</w:t>
      </w:r>
    </w:p>
    <w:p>
      <w:pPr>
        <w:spacing w:after="0" w:line="175" w:lineRule="exact"/>
        <w:rPr>
          <w:sz w:val="20"/>
          <w:szCs w:val="20"/>
          <w:color w:val="auto"/>
        </w:rPr>
      </w:pPr>
    </w:p>
    <w:p>
      <w:pPr>
        <w:ind w:right="220" w:firstLine="618"/>
        <w:spacing w:after="0" w:line="25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When Company May Merge, Etc</w:t>
      </w:r>
      <w:r>
        <w:rPr>
          <w:rFonts w:ascii="Arial" w:cs="Arial" w:eastAsia="Arial" w:hAnsi="Arial"/>
          <w:sz w:val="17"/>
          <w:szCs w:val="17"/>
          <w:color w:val="auto"/>
        </w:rPr>
        <w:t>. The Company shall not consolidate with or merge into, or convey, transfer or lease all or substantially all of its properties and assets to, any Person (a “</w:t>
      </w:r>
      <w:r>
        <w:rPr>
          <w:rFonts w:ascii="Arial" w:cs="Arial" w:eastAsia="Arial" w:hAnsi="Arial"/>
          <w:sz w:val="17"/>
          <w:szCs w:val="17"/>
          <w:b w:val="1"/>
          <w:bCs w:val="1"/>
          <w:color w:val="auto"/>
        </w:rPr>
        <w:t>successor person</w:t>
      </w:r>
      <w:r>
        <w:rPr>
          <w:rFonts w:ascii="Arial" w:cs="Arial" w:eastAsia="Arial" w:hAnsi="Arial"/>
          <w:sz w:val="17"/>
          <w:szCs w:val="17"/>
          <w:color w:val="auto"/>
        </w:rPr>
        <w:t>”), and may not permit any Person to merge into, or convey, transfer or lease its properties and assets substantially as an entirety to, the Company, unless:</w:t>
      </w:r>
    </w:p>
    <w:p>
      <w:pPr>
        <w:spacing w:after="0" w:line="150" w:lineRule="exact"/>
        <w:rPr>
          <w:sz w:val="20"/>
          <w:szCs w:val="20"/>
          <w:color w:val="auto"/>
        </w:rPr>
      </w:pPr>
    </w:p>
    <w:p>
      <w:pPr>
        <w:ind w:right="460" w:firstLine="621"/>
        <w:spacing w:after="0" w:line="255" w:lineRule="auto"/>
        <w:tabs>
          <w:tab w:leader="none" w:pos="971" w:val="left"/>
        </w:tabs>
        <w:numPr>
          <w:ilvl w:val="0"/>
          <w:numId w:val="45"/>
        </w:numPr>
        <w:rPr>
          <w:rFonts w:ascii="Arial" w:cs="Arial" w:eastAsia="Arial" w:hAnsi="Arial"/>
          <w:sz w:val="17"/>
          <w:szCs w:val="17"/>
          <w:color w:val="auto"/>
        </w:rPr>
      </w:pPr>
      <w:r>
        <w:rPr>
          <w:rFonts w:ascii="Arial" w:cs="Arial" w:eastAsia="Arial" w:hAnsi="Arial"/>
          <w:sz w:val="17"/>
          <w:szCs w:val="17"/>
          <w:color w:val="auto"/>
        </w:rPr>
        <w:t>either the Company shall be the continuing corporation or the successor person (if other than the Company) is a corporation, partnership, trust or other entity organized and validly existing under the laws of Ireland, the United States of America, any State thereof or the District of Columbia and expressly assumes the Company’s obligations on the Securities and under this Indenture; and</w:t>
      </w:r>
    </w:p>
    <w:p>
      <w:pPr>
        <w:spacing w:after="0" w:line="149" w:lineRule="exact"/>
        <w:rPr>
          <w:rFonts w:ascii="Arial" w:cs="Arial" w:eastAsia="Arial" w:hAnsi="Arial"/>
          <w:sz w:val="17"/>
          <w:szCs w:val="17"/>
          <w:color w:val="auto"/>
        </w:rPr>
      </w:pPr>
    </w:p>
    <w:p>
      <w:pPr>
        <w:ind w:left="980" w:hanging="359"/>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shall have occurred and be continuing.</w:t>
      </w:r>
    </w:p>
    <w:p>
      <w:pPr>
        <w:spacing w:after="0" w:line="191" w:lineRule="exact"/>
        <w:rPr>
          <w:sz w:val="20"/>
          <w:szCs w:val="20"/>
          <w:color w:val="auto"/>
        </w:rPr>
      </w:pPr>
    </w:p>
    <w:p>
      <w:pPr>
        <w:ind w:right="360" w:firstLine="618"/>
        <w:spacing w:after="0" w:line="273"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such supplemental indenture comply with this Indenture.</w:t>
      </w:r>
    </w:p>
    <w:p>
      <w:pPr>
        <w:spacing w:after="0" w:line="135" w:lineRule="exact"/>
        <w:rPr>
          <w:sz w:val="20"/>
          <w:szCs w:val="20"/>
          <w:color w:val="auto"/>
        </w:rPr>
      </w:pPr>
    </w:p>
    <w:p>
      <w:pPr>
        <w:ind w:right="20" w:firstLine="618"/>
        <w:spacing w:after="0" w:line="246"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Successor Corporation Substituted</w:t>
      </w:r>
      <w:r>
        <w:rPr>
          <w:rFonts w:ascii="Arial" w:cs="Arial" w:eastAsia="Arial" w:hAnsi="Arial"/>
          <w:sz w:val="17"/>
          <w:szCs w:val="17"/>
          <w:color w:val="auto"/>
        </w:rPr>
        <w:t>. The successor person formed by such consolidation or into which the Company is merged or to which such transfer or lease is made shall succeed to and be substituted for, and may exercise every right and power of, the Company under this Indenture with the same effect as if such successor person had been named as the Company herein, and thereafter (except in the case of a lease to another Person) the predecessor corporation shall be relieved of all obligations and covenants under the Indenture and the Securities and, in the event of such conveyance or transfer, any such predecessor corporation may be dissolved and liquidated.</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efaults and</w:t>
      </w:r>
      <w:r>
        <w:rPr>
          <w:rFonts w:ascii="Arial" w:cs="Arial" w:eastAsia="Arial" w:hAnsi="Arial"/>
          <w:sz w:val="17"/>
          <w:szCs w:val="17"/>
          <w:color w:val="auto"/>
        </w:rPr>
        <w:t xml:space="preserve"> R</w:t>
      </w:r>
      <w:r>
        <w:rPr>
          <w:rFonts w:ascii="Arial" w:cs="Arial" w:eastAsia="Arial" w:hAnsi="Arial"/>
          <w:sz w:val="11"/>
          <w:szCs w:val="11"/>
          <w:color w:val="auto"/>
        </w:rPr>
        <w:t>emedies</w:t>
      </w:r>
    </w:p>
    <w:p>
      <w:pPr>
        <w:spacing w:after="0" w:line="175"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7"/>
          <w:szCs w:val="17"/>
          <w:i w:val="1"/>
          <w:iCs w:val="1"/>
          <w:color w:val="auto"/>
        </w:rPr>
        <w:t>Events of Default</w:t>
      </w:r>
      <w:r>
        <w:rPr>
          <w:rFonts w:ascii="Arial" w:cs="Arial" w:eastAsia="Arial" w:hAnsi="Arial"/>
          <w:sz w:val="17"/>
          <w:szCs w:val="17"/>
          <w:color w:val="auto"/>
        </w:rPr>
        <w:t>.</w:t>
      </w:r>
    </w:p>
    <w:p>
      <w:pPr>
        <w:spacing w:after="0" w:line="189" w:lineRule="exact"/>
        <w:rPr>
          <w:sz w:val="20"/>
          <w:szCs w:val="20"/>
          <w:color w:val="auto"/>
        </w:rPr>
      </w:pPr>
    </w:p>
    <w:p>
      <w:pPr>
        <w:ind w:right="60" w:firstLine="61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49" w:lineRule="exact"/>
        <w:rPr>
          <w:sz w:val="20"/>
          <w:szCs w:val="20"/>
          <w:color w:val="auto"/>
        </w:rPr>
      </w:pPr>
    </w:p>
    <w:p>
      <w:pPr>
        <w:ind w:firstLine="621"/>
        <w:spacing w:after="0" w:line="249" w:lineRule="auto"/>
        <w:tabs>
          <w:tab w:leader="none" w:pos="9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provided that, a valid extension of an interest payment period by the Company in accordance with the terms of such Securities shall not constitute a failure to pay interest; or</w:t>
      </w:r>
    </w:p>
    <w:p>
      <w:pPr>
        <w:spacing w:after="0" w:line="154" w:lineRule="exact"/>
        <w:rPr>
          <w:rFonts w:ascii="Arial" w:cs="Arial" w:eastAsia="Arial" w:hAnsi="Arial"/>
          <w:sz w:val="17"/>
          <w:szCs w:val="17"/>
          <w:color w:val="auto"/>
        </w:rPr>
      </w:pPr>
    </w:p>
    <w:p>
      <w:pPr>
        <w:ind w:left="980" w:hanging="35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default in the payment of the principal of, or premium, if any, on, any Security of that Series when due at its Maturity; or</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default in the deposit of any sinking fund payment, when and as due in respect of any Security of that Series; or</w:t>
      </w:r>
    </w:p>
    <w:p>
      <w:pPr>
        <w:spacing w:after="0" w:line="190" w:lineRule="exact"/>
        <w:rPr>
          <w:rFonts w:ascii="Arial" w:cs="Arial" w:eastAsia="Arial" w:hAnsi="Arial"/>
          <w:sz w:val="17"/>
          <w:szCs w:val="17"/>
          <w:color w:val="auto"/>
        </w:rPr>
      </w:pPr>
    </w:p>
    <w:p>
      <w:pPr>
        <w:ind w:right="160" w:firstLine="621"/>
        <w:spacing w:after="0" w:line="249" w:lineRule="auto"/>
        <w:tabs>
          <w:tab w:leader="none" w:pos="9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default, subject to the provisions in Section‎ 4.08,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or</w:t>
      </w:r>
    </w:p>
    <w:p>
      <w:pPr>
        <w:spacing w:after="0" w:line="144" w:lineRule="exact"/>
        <w:rPr>
          <w:rFonts w:ascii="Arial" w:cs="Arial" w:eastAsia="Arial" w:hAnsi="Arial"/>
          <w:sz w:val="17"/>
          <w:szCs w:val="17"/>
          <w:color w:val="auto"/>
        </w:rPr>
      </w:pPr>
    </w:p>
    <w:p>
      <w:pPr>
        <w:ind w:left="980" w:hanging="35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pursuant to or within the meaning of any Bankruptcy Law:</w:t>
      </w:r>
    </w:p>
    <w:p>
      <w:pPr>
        <w:spacing w:after="0" w:line="190" w:lineRule="exact"/>
        <w:rPr>
          <w:rFonts w:ascii="Arial" w:cs="Arial" w:eastAsia="Arial" w:hAnsi="Arial"/>
          <w:sz w:val="17"/>
          <w:szCs w:val="17"/>
          <w:color w:val="auto"/>
        </w:rPr>
      </w:pPr>
    </w:p>
    <w:p>
      <w:pPr>
        <w:ind w:left="1840" w:hanging="292"/>
        <w:spacing w:after="0"/>
        <w:tabs>
          <w:tab w:leader="none" w:pos="18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commences a voluntary case,</w:t>
      </w:r>
    </w:p>
    <w:p>
      <w:pPr>
        <w:spacing w:after="0" w:line="190" w:lineRule="exact"/>
        <w:rPr>
          <w:rFonts w:ascii="Arial" w:cs="Arial" w:eastAsia="Arial" w:hAnsi="Arial"/>
          <w:sz w:val="17"/>
          <w:szCs w:val="17"/>
          <w:color w:val="auto"/>
        </w:rPr>
      </w:pPr>
    </w:p>
    <w:p>
      <w:pPr>
        <w:ind w:left="1880" w:hanging="332"/>
        <w:spacing w:after="0"/>
        <w:tabs>
          <w:tab w:leader="none" w:pos="18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consents to the entry of an order for relief against it in an involuntary case,</w:t>
      </w:r>
    </w:p>
    <w:p>
      <w:pPr>
        <w:spacing w:after="0" w:line="190" w:lineRule="exact"/>
        <w:rPr>
          <w:rFonts w:ascii="Arial" w:cs="Arial" w:eastAsia="Arial" w:hAnsi="Arial"/>
          <w:sz w:val="17"/>
          <w:szCs w:val="17"/>
          <w:color w:val="auto"/>
        </w:rPr>
      </w:pPr>
    </w:p>
    <w:p>
      <w:pPr>
        <w:ind w:left="1920" w:hanging="372"/>
        <w:spacing w:after="0"/>
        <w:tabs>
          <w:tab w:leader="none" w:pos="19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consents to the appointment of a Custodian, an examiner or equivalent of it or for all or substantially all of its property,</w:t>
      </w:r>
    </w:p>
    <w:p>
      <w:pPr>
        <w:spacing w:after="0" w:line="190" w:lineRule="exact"/>
        <w:rPr>
          <w:rFonts w:ascii="Arial" w:cs="Arial" w:eastAsia="Arial" w:hAnsi="Arial"/>
          <w:sz w:val="17"/>
          <w:szCs w:val="17"/>
          <w:color w:val="auto"/>
        </w:rPr>
      </w:pPr>
    </w:p>
    <w:p>
      <w:pPr>
        <w:ind w:left="1920" w:hanging="372"/>
        <w:spacing w:after="0"/>
        <w:tabs>
          <w:tab w:leader="none" w:pos="19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makes a general assignment for the benefit of its creditors, or</w:t>
      </w:r>
    </w:p>
    <w:p>
      <w:pPr>
        <w:spacing w:after="0" w:line="190" w:lineRule="exact"/>
        <w:rPr>
          <w:rFonts w:ascii="Arial" w:cs="Arial" w:eastAsia="Arial" w:hAnsi="Arial"/>
          <w:sz w:val="17"/>
          <w:szCs w:val="17"/>
          <w:color w:val="auto"/>
        </w:rPr>
      </w:pPr>
    </w:p>
    <w:p>
      <w:pPr>
        <w:ind w:left="1900" w:hanging="352"/>
        <w:spacing w:after="0"/>
        <w:tabs>
          <w:tab w:leader="none" w:pos="19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generally is unable to pay its debts as the same become due; or</w:t>
      </w:r>
    </w:p>
    <w:p>
      <w:pPr>
        <w:spacing w:after="0" w:line="190" w:lineRule="exact"/>
        <w:rPr>
          <w:rFonts w:ascii="Arial" w:cs="Arial" w:eastAsia="Arial" w:hAnsi="Arial"/>
          <w:sz w:val="17"/>
          <w:szCs w:val="17"/>
          <w:color w:val="auto"/>
        </w:rPr>
      </w:pPr>
    </w:p>
    <w:p>
      <w:pPr>
        <w:ind w:left="920" w:hanging="299"/>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w:t>
      </w:r>
    </w:p>
    <w:p>
      <w:pPr>
        <w:spacing w:after="0" w:line="190" w:lineRule="exact"/>
        <w:rPr>
          <w:rFonts w:ascii="Arial" w:cs="Arial" w:eastAsia="Arial" w:hAnsi="Arial"/>
          <w:sz w:val="17"/>
          <w:szCs w:val="17"/>
          <w:color w:val="auto"/>
        </w:rPr>
      </w:pPr>
    </w:p>
    <w:p>
      <w:pPr>
        <w:ind w:left="1840" w:hanging="292"/>
        <w:spacing w:after="0"/>
        <w:tabs>
          <w:tab w:leader="none" w:pos="18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is for relief against the Company in an involuntary case,</w:t>
      </w:r>
    </w:p>
    <w:p>
      <w:pPr>
        <w:spacing w:after="0" w:line="190" w:lineRule="exact"/>
        <w:rPr>
          <w:rFonts w:ascii="Arial" w:cs="Arial" w:eastAsia="Arial" w:hAnsi="Arial"/>
          <w:sz w:val="17"/>
          <w:szCs w:val="17"/>
          <w:color w:val="auto"/>
        </w:rPr>
      </w:pPr>
    </w:p>
    <w:p>
      <w:pPr>
        <w:ind w:left="1880" w:hanging="332"/>
        <w:spacing w:after="0"/>
        <w:tabs>
          <w:tab w:leader="none" w:pos="18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appoints a Custodian of the Company for all or substantially all of its property, or</w:t>
      </w:r>
    </w:p>
    <w:p>
      <w:pPr>
        <w:spacing w:after="0" w:line="190" w:lineRule="exact"/>
        <w:rPr>
          <w:rFonts w:ascii="Arial" w:cs="Arial" w:eastAsia="Arial" w:hAnsi="Arial"/>
          <w:sz w:val="17"/>
          <w:szCs w:val="17"/>
          <w:color w:val="auto"/>
        </w:rPr>
      </w:pPr>
    </w:p>
    <w:p>
      <w:pPr>
        <w:ind w:left="1920" w:hanging="372"/>
        <w:spacing w:after="0"/>
        <w:tabs>
          <w:tab w:leader="none" w:pos="19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orders the liquidation of the Company, and the order or decree remains unstayed and in effect for 60 days; or</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other Event of Default provided with respect to Securities of that Series, which is specified in a Board Resolution, a supplemental</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indenture hereto or an Officers’ Certificate, in accordance with Section‎ 2.02(s).</w:t>
      </w:r>
    </w:p>
    <w:p>
      <w:pPr>
        <w:spacing w:after="0" w:line="173" w:lineRule="exact"/>
        <w:rPr>
          <w:sz w:val="20"/>
          <w:szCs w:val="20"/>
          <w:color w:val="auto"/>
        </w:rPr>
      </w:pPr>
    </w:p>
    <w:p>
      <w:pPr>
        <w:ind w:right="660" w:firstLine="618"/>
        <w:spacing w:after="0" w:line="28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Bankruptcy Law</w:t>
      </w:r>
      <w:r>
        <w:rPr>
          <w:rFonts w:ascii="Arial" w:cs="Arial" w:eastAsia="Arial" w:hAnsi="Arial"/>
          <w:sz w:val="17"/>
          <w:szCs w:val="17"/>
          <w:color w:val="auto"/>
        </w:rPr>
        <w:t>” means title 11, U.S. Code or any similar applicable Irish, U.S. Federal or U.S. State law for the relief of debtors. The term “</w:t>
      </w:r>
      <w:r>
        <w:rPr>
          <w:rFonts w:ascii="Arial" w:cs="Arial" w:eastAsia="Arial" w:hAnsi="Arial"/>
          <w:sz w:val="17"/>
          <w:szCs w:val="17"/>
          <w:b w:val="1"/>
          <w:bCs w:val="1"/>
          <w:color w:val="auto"/>
        </w:rPr>
        <w:t>Custodian</w:t>
      </w:r>
      <w:r>
        <w:rPr>
          <w:rFonts w:ascii="Arial" w:cs="Arial" w:eastAsia="Arial" w:hAnsi="Arial"/>
          <w:sz w:val="17"/>
          <w:szCs w:val="17"/>
          <w:color w:val="auto"/>
        </w:rPr>
        <w:t>” means any receiver, trustee, assignee, liquidator, examiner or similar official under any Bankruptcy Law.</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6" w:name="page77"/>
    <w:bookmarkEnd w:id="76"/>
    <w:p>
      <w:pPr>
        <w:ind w:firstLine="618"/>
        <w:spacing w:after="0" w:line="24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 of Maturity; Rescission and Annulment</w:t>
      </w:r>
      <w:r>
        <w:rPr>
          <w:rFonts w:ascii="Arial" w:cs="Arial" w:eastAsia="Arial" w:hAnsi="Arial"/>
          <w:sz w:val="17"/>
          <w:szCs w:val="17"/>
          <w:color w:val="auto"/>
        </w:rPr>
        <w:t>. If an Event of Default described in Section‎ 6.01(a), (b)‎ or (c)‎ occurs and is continuing, then, and in each and every such case, except for any series of Securities the principal of which shall have already become due and payable, either the Trustee or the Holders of not less than 25% in aggregate principal amount of the Securities of each such affected series then outstanding hereunder (each such series voting as a separate class) by notice in writing to the Company (and to the Trustee if given by Securityholders), may declare the entire principal (or, if the Securities of such series are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60" w:lineRule="exact"/>
        <w:rPr>
          <w:sz w:val="20"/>
          <w:szCs w:val="20"/>
          <w:color w:val="auto"/>
        </w:rPr>
      </w:pPr>
    </w:p>
    <w:p>
      <w:pPr>
        <w:ind w:firstLine="618"/>
        <w:spacing w:after="0" w:line="241" w:lineRule="auto"/>
        <w:rPr>
          <w:sz w:val="20"/>
          <w:szCs w:val="20"/>
          <w:color w:val="auto"/>
        </w:rPr>
      </w:pPr>
      <w:r>
        <w:rPr>
          <w:rFonts w:ascii="Arial" w:cs="Arial" w:eastAsia="Arial" w:hAnsi="Arial"/>
          <w:sz w:val="17"/>
          <w:szCs w:val="17"/>
          <w:color w:val="auto"/>
        </w:rPr>
        <w:t>Except as otherwise provided in the terms of any series of Senior Securities pursuant to ‎Section 2.02, if an Event of Default described in ‎(d) or ‎(g) above with respect to all series of the Senior Securities then outstanding, occurs and is continuing, then, and in each and every such case, unless the principal of all of the Senior Securities shall have already become due and payable, either the Trustee or the Holders of not less than 25% in aggregate principal amount of all of the Senior Securities then outstanding hereunder (treated as one class) by notice in writing to the Company (and to the Trustee if given by Securityholders), may declare the entire principal (or, if the Senior Securities of any series are Discount Securities, such portion of the principal amount as may be specified in the terms of such series) of all of the Senior Securities then outstanding, and the interest accrued thereon, if any, to be due and payable immediately, and upon such declaration, the same shall become immediately due and payable. If an Event of Default described in ‎Section 6.01(e) or ‎6.01(f) above occurs and is continuing, then the principal amount of all the Senior Securities then outstanding, and the interest accrued thereon, if any, shall become and be immediately due and payable without any declaration or other act on the part of the Trustee or any Holder.</w:t>
      </w:r>
    </w:p>
    <w:p>
      <w:pPr>
        <w:spacing w:after="0" w:line="162" w:lineRule="exact"/>
        <w:rPr>
          <w:sz w:val="20"/>
          <w:szCs w:val="20"/>
          <w:color w:val="auto"/>
        </w:rPr>
      </w:pPr>
    </w:p>
    <w:p>
      <w:pPr>
        <w:ind w:right="100" w:firstLine="618"/>
        <w:spacing w:after="0" w:line="242" w:lineRule="auto"/>
        <w:rPr>
          <w:sz w:val="20"/>
          <w:szCs w:val="20"/>
          <w:color w:val="auto"/>
        </w:rPr>
      </w:pPr>
      <w:r>
        <w:rPr>
          <w:rFonts w:ascii="Arial" w:cs="Arial" w:eastAsia="Arial" w:hAnsi="Arial"/>
          <w:sz w:val="17"/>
          <w:szCs w:val="17"/>
          <w:color w:val="auto"/>
        </w:rPr>
        <w:t>Except as otherwise provided in the terms of any series of Subordinated Securities pursuant to ‎Section 2.02, if an Event of Default described in ‎(d) or ‎(g) above with respect to all series of Subordinated Securities then outstanding, occurs and is continuing, then, and in each and every such case, unless the principal of all of the Subordinated Securities shall have already become due and payable, either the Trustee or the Holders of not less than 25% in aggregate principal amount of all of the Subordinated Securities then outstanding hereunder (treated as one class) by notice in writing to the Company (and to the Trustee if given by Securityholders), may declare the entire principal (or, if the Subordinated Securities of any series are Discount Securities, such portion of the principal amount as may be specified in the terms of such series) of all of the Subordinated Securities then outstanding, and the interest accrued thereon, if any, to be due and payable immediately, and upon such declaration, the same shall become immediately due and payable.</w:t>
      </w:r>
    </w:p>
    <w:p>
      <w:pPr>
        <w:spacing w:after="0" w:line="162" w:lineRule="exact"/>
        <w:rPr>
          <w:sz w:val="20"/>
          <w:szCs w:val="20"/>
          <w:color w:val="auto"/>
        </w:rPr>
      </w:pPr>
    </w:p>
    <w:p>
      <w:pPr>
        <w:ind w:right="40" w:firstLine="618"/>
        <w:spacing w:after="0" w:line="243" w:lineRule="auto"/>
        <w:rPr>
          <w:sz w:val="20"/>
          <w:szCs w:val="20"/>
          <w:color w:val="auto"/>
        </w:rPr>
      </w:pPr>
      <w:r>
        <w:rPr>
          <w:rFonts w:ascii="Arial" w:cs="Arial" w:eastAsia="Arial" w:hAnsi="Arial"/>
          <w:sz w:val="17"/>
          <w:szCs w:val="17"/>
          <w:color w:val="auto"/>
        </w:rPr>
        <w:t>If an Event of Default described in (d)‎ or (g)‎ occurs and is continuing, which Event of Default is with respect to less than all series of Senior Securities then outstanding, then, and in each and every such case, except for any series of Senior Securities the principal of which shall have already become due and payable, either the Trustee or the Holders of not less than 25% in aggregate principal amount of the Senior Securities of each such affected series then outstanding hereunder (each such series voting as a separate class) by notice in writing to the Company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60" w:lineRule="exact"/>
        <w:rPr>
          <w:sz w:val="20"/>
          <w:szCs w:val="20"/>
          <w:color w:val="auto"/>
        </w:rPr>
      </w:pPr>
    </w:p>
    <w:p>
      <w:pPr>
        <w:ind w:right="100" w:firstLine="618"/>
        <w:spacing w:after="0" w:line="246" w:lineRule="auto"/>
        <w:rPr>
          <w:sz w:val="20"/>
          <w:szCs w:val="20"/>
          <w:color w:val="auto"/>
        </w:rPr>
      </w:pPr>
      <w:r>
        <w:rPr>
          <w:rFonts w:ascii="Arial" w:cs="Arial" w:eastAsia="Arial" w:hAnsi="Arial"/>
          <w:sz w:val="17"/>
          <w:szCs w:val="17"/>
          <w:color w:val="auto"/>
        </w:rPr>
        <w:t>If an Event of Default described in (d)‎ or (g)‎ occurs and is continuing, which Event of Default is with respect to less than all series of Subordinated Securities then outstanding, then, and in each and every such case, except for any series of Subordinated Securities the principal of which shall have already become due and payable, either the Trustee or the Holders of not less than 25% in aggregate principal amount of the Subordinated Securities of each such affected series then outstanding hereunder (each such series voting as a separate class) by notice in writing to the Company (and to the Trustee if given by Securityholders), may declare the entire principal (or, if the Securities of such series are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77" w:name="page78"/>
    <w:bookmarkEnd w:id="77"/>
    <w:p>
      <w:pPr>
        <w:jc w:val="both"/>
        <w:ind w:right="220"/>
        <w:spacing w:after="0" w:line="255" w:lineRule="auto"/>
        <w:rPr>
          <w:sz w:val="20"/>
          <w:szCs w:val="20"/>
          <w:color w:val="auto"/>
        </w:rPr>
      </w:pPr>
      <w:r>
        <w:rPr>
          <w:rFonts w:ascii="Arial" w:cs="Arial" w:eastAsia="Arial" w:hAnsi="Arial"/>
          <w:sz w:val="17"/>
          <w:szCs w:val="17"/>
          <w:color w:val="auto"/>
        </w:rPr>
        <w:t>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50" w:lineRule="exact"/>
        <w:rPr>
          <w:sz w:val="20"/>
          <w:szCs w:val="20"/>
          <w:color w:val="auto"/>
        </w:rPr>
      </w:pPr>
    </w:p>
    <w:p>
      <w:pPr>
        <w:ind w:firstLine="618"/>
        <w:spacing w:after="0" w:line="255" w:lineRule="auto"/>
        <w:rPr>
          <w:sz w:val="20"/>
          <w:szCs w:val="20"/>
          <w:color w:val="auto"/>
        </w:rPr>
      </w:pPr>
      <w:r>
        <w:rPr>
          <w:rFonts w:ascii="Arial" w:cs="Arial" w:eastAsia="Arial" w:hAnsi="Arial"/>
          <w:sz w:val="17"/>
          <w:szCs w:val="17"/>
          <w:color w:val="auto"/>
        </w:rPr>
        <w:t>If an Event of Default specified in Section‎ 6.01(e) or (f)‎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50" w:lineRule="exact"/>
        <w:rPr>
          <w:sz w:val="20"/>
          <w:szCs w:val="20"/>
          <w:color w:val="auto"/>
        </w:rPr>
      </w:pPr>
    </w:p>
    <w:p>
      <w:pPr>
        <w:ind w:right="20" w:firstLine="618"/>
        <w:spacing w:after="0" w:line="249"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55" w:lineRule="exact"/>
        <w:rPr>
          <w:sz w:val="20"/>
          <w:szCs w:val="20"/>
          <w:color w:val="auto"/>
        </w:rPr>
      </w:pPr>
    </w:p>
    <w:p>
      <w:pPr>
        <w:ind w:left="980" w:hanging="359"/>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has paid or deposited with the Trustee a sum sufficient to pay</w:t>
      </w:r>
    </w:p>
    <w:p>
      <w:pPr>
        <w:spacing w:after="0" w:line="190" w:lineRule="exact"/>
        <w:rPr>
          <w:rFonts w:ascii="Arial" w:cs="Arial" w:eastAsia="Arial" w:hAnsi="Arial"/>
          <w:sz w:val="17"/>
          <w:szCs w:val="17"/>
          <w:color w:val="auto"/>
        </w:rPr>
      </w:pPr>
    </w:p>
    <w:p>
      <w:pPr>
        <w:ind w:left="1840" w:hanging="292"/>
        <w:spacing w:after="0"/>
        <w:tabs>
          <w:tab w:leader="none" w:pos="18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overdue interest, if any, on all Securities of that Series;</w:t>
      </w:r>
    </w:p>
    <w:p>
      <w:pPr>
        <w:spacing w:after="0" w:line="190" w:lineRule="exact"/>
        <w:rPr>
          <w:rFonts w:ascii="Arial" w:cs="Arial" w:eastAsia="Arial" w:hAnsi="Arial"/>
          <w:sz w:val="17"/>
          <w:szCs w:val="17"/>
          <w:color w:val="auto"/>
        </w:rPr>
      </w:pPr>
    </w:p>
    <w:p>
      <w:pPr>
        <w:ind w:left="620" w:right="300" w:firstLine="928"/>
        <w:spacing w:after="0" w:line="273" w:lineRule="auto"/>
        <w:tabs>
          <w:tab w:leader="none" w:pos="1881"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principal of any Securities of that Series which have become due otherwise than by such declaration of acceleration and interest thereon at the rate or rates prescribed therefor in such Securities;</w:t>
      </w:r>
    </w:p>
    <w:p>
      <w:pPr>
        <w:spacing w:after="0" w:line="134" w:lineRule="exact"/>
        <w:rPr>
          <w:rFonts w:ascii="Arial" w:cs="Arial" w:eastAsia="Arial" w:hAnsi="Arial"/>
          <w:sz w:val="17"/>
          <w:szCs w:val="17"/>
          <w:color w:val="auto"/>
        </w:rPr>
      </w:pPr>
    </w:p>
    <w:p>
      <w:pPr>
        <w:ind w:left="620" w:right="60" w:firstLine="928"/>
        <w:spacing w:after="0" w:line="273" w:lineRule="auto"/>
        <w:tabs>
          <w:tab w:leader="none" w:pos="1919" w:val="left"/>
        </w:tabs>
        <w:numPr>
          <w:ilvl w:val="1"/>
          <w:numId w:val="47"/>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any overdue principal and overdue interest at the rate or rates prescribed therefor in such Securities;</w:t>
      </w:r>
    </w:p>
    <w:p>
      <w:pPr>
        <w:spacing w:after="0" w:line="134" w:lineRule="exact"/>
        <w:rPr>
          <w:rFonts w:ascii="Arial" w:cs="Arial" w:eastAsia="Arial" w:hAnsi="Arial"/>
          <w:sz w:val="17"/>
          <w:szCs w:val="17"/>
          <w:color w:val="auto"/>
        </w:rPr>
      </w:pPr>
    </w:p>
    <w:p>
      <w:pPr>
        <w:ind w:left="620" w:right="340" w:firstLine="928"/>
        <w:spacing w:after="0" w:line="273" w:lineRule="auto"/>
        <w:tabs>
          <w:tab w:leader="none" w:pos="1928"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sums paid or advanced by the Trustee hereunder and the reasonable compensation, expenses, disbursements and advances of the Trustee, its agents and counsel; and</w:t>
      </w:r>
    </w:p>
    <w:p>
      <w:pPr>
        <w:spacing w:after="0" w:line="134" w:lineRule="exact"/>
        <w:rPr>
          <w:rFonts w:ascii="Arial" w:cs="Arial" w:eastAsia="Arial" w:hAnsi="Arial"/>
          <w:sz w:val="17"/>
          <w:szCs w:val="17"/>
          <w:color w:val="auto"/>
        </w:rPr>
      </w:pPr>
    </w:p>
    <w:p>
      <w:pPr>
        <w:ind w:left="1900" w:hanging="352"/>
        <w:spacing w:after="0"/>
        <w:tabs>
          <w:tab w:leader="none" w:pos="19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Events of Default with respect to Securities of that Series, other than the non-payment of the principal of Securities of</w:t>
      </w:r>
    </w:p>
    <w:p>
      <w:pPr>
        <w:spacing w:after="0" w:line="13"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that Series which have become due solely by such declaration of acceleration, have been cured or waived as provided in Section‎ 6.13.</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such rescission shall affect any subsequent Default or impair any right consequent thereon.</w:t>
      </w:r>
    </w:p>
    <w:p>
      <w:pPr>
        <w:spacing w:after="0" w:line="191"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6.03.</w:t>
      </w:r>
      <w:r>
        <w:rPr>
          <w:sz w:val="20"/>
          <w:szCs w:val="20"/>
          <w:color w:val="auto"/>
        </w:rPr>
        <w:tab/>
      </w:r>
      <w:r>
        <w:rPr>
          <w:rFonts w:ascii="Arial" w:cs="Arial" w:eastAsia="Arial" w:hAnsi="Arial"/>
          <w:sz w:val="17"/>
          <w:szCs w:val="17"/>
          <w:i w:val="1"/>
          <w:iCs w:val="1"/>
          <w:color w:val="auto"/>
        </w:rPr>
        <w:t xml:space="preserve">Collection of Indebtedness and Suits for Enforcement by Trustee. </w:t>
      </w:r>
      <w:r>
        <w:rPr>
          <w:rFonts w:ascii="Arial" w:cs="Arial" w:eastAsia="Arial" w:hAnsi="Arial"/>
          <w:sz w:val="17"/>
          <w:szCs w:val="17"/>
          <w:color w:val="auto"/>
        </w:rPr>
        <w:t>The Company covenants that if</w:t>
      </w:r>
    </w:p>
    <w:p>
      <w:pPr>
        <w:spacing w:after="0" w:line="191" w:lineRule="exact"/>
        <w:rPr>
          <w:sz w:val="20"/>
          <w:szCs w:val="20"/>
          <w:color w:val="auto"/>
        </w:rPr>
      </w:pPr>
    </w:p>
    <w:p>
      <w:pPr>
        <w:ind w:right="720" w:firstLine="621"/>
        <w:spacing w:after="0" w:line="273" w:lineRule="auto"/>
        <w:tabs>
          <w:tab w:leader="none" w:pos="9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default is made in the payment of any interest on any Security when such interest becomes due and payable and such default continues for a period of 30 days, or</w:t>
      </w:r>
    </w:p>
    <w:p>
      <w:pPr>
        <w:spacing w:after="0" w:line="134" w:lineRule="exact"/>
        <w:rPr>
          <w:rFonts w:ascii="Arial" w:cs="Arial" w:eastAsia="Arial" w:hAnsi="Arial"/>
          <w:sz w:val="17"/>
          <w:szCs w:val="17"/>
          <w:color w:val="auto"/>
        </w:rPr>
      </w:pPr>
    </w:p>
    <w:p>
      <w:pPr>
        <w:ind w:left="980" w:hanging="359"/>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default is made in the payment of principal of any Security when due at the Maturity thereof, or</w:t>
      </w:r>
    </w:p>
    <w:p>
      <w:pPr>
        <w:spacing w:after="0" w:line="190" w:lineRule="exact"/>
        <w:rPr>
          <w:rFonts w:ascii="Arial" w:cs="Arial" w:eastAsia="Arial" w:hAnsi="Arial"/>
          <w:sz w:val="17"/>
          <w:szCs w:val="17"/>
          <w:color w:val="auto"/>
        </w:rPr>
      </w:pPr>
    </w:p>
    <w:p>
      <w:pPr>
        <w:ind w:right="140" w:firstLine="621"/>
        <w:spacing w:after="0" w:line="244" w:lineRule="auto"/>
        <w:tabs>
          <w:tab w:leader="none" w:pos="961"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default is made in the deposit of any sinking fund payment when and as due by the terms of a Security, 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or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60" w:lineRule="exact"/>
        <w:rPr>
          <w:sz w:val="20"/>
          <w:szCs w:val="20"/>
          <w:color w:val="auto"/>
        </w:rPr>
      </w:pPr>
    </w:p>
    <w:p>
      <w:pPr>
        <w:jc w:val="both"/>
        <w:ind w:firstLine="618"/>
        <w:spacing w:after="0" w:line="255"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8" w:name="page79"/>
    <w:bookmarkEnd w:id="78"/>
    <w:p>
      <w:pPr>
        <w:ind w:right="440"/>
        <w:spacing w:after="0" w:line="273" w:lineRule="auto"/>
        <w:rPr>
          <w:sz w:val="20"/>
          <w:szCs w:val="20"/>
          <w:color w:val="auto"/>
        </w:rPr>
      </w:pPr>
      <w:r>
        <w:rPr>
          <w:rFonts w:ascii="Arial" w:cs="Arial" w:eastAsia="Arial" w:hAnsi="Arial"/>
          <w:sz w:val="17"/>
          <w:szCs w:val="17"/>
          <w:color w:val="auto"/>
        </w:rPr>
        <w:t>deemed to be payable in the manner provided by law out of the property of the Company or any other obligor upon such Securities, wherever situated.</w:t>
      </w:r>
    </w:p>
    <w:p>
      <w:pPr>
        <w:spacing w:after="0" w:line="135"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5" w:lineRule="exact"/>
        <w:rPr>
          <w:sz w:val="20"/>
          <w:szCs w:val="20"/>
          <w:color w:val="auto"/>
        </w:rPr>
      </w:pPr>
    </w:p>
    <w:p>
      <w:pPr>
        <w:ind w:firstLine="618"/>
        <w:spacing w:after="0" w:line="244"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In case of the pendency of any receivership, insolvency, liquidation, bankruptcy, reorganization, arrangement, adjustment, composition, examinership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60" w:lineRule="exact"/>
        <w:rPr>
          <w:sz w:val="20"/>
          <w:szCs w:val="20"/>
          <w:color w:val="auto"/>
        </w:rPr>
      </w:pPr>
    </w:p>
    <w:p>
      <w:pPr>
        <w:ind w:right="220" w:firstLine="621"/>
        <w:spacing w:after="0" w:line="249" w:lineRule="auto"/>
        <w:tabs>
          <w:tab w:leader="none" w:pos="9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54" w:lineRule="exact"/>
        <w:rPr>
          <w:rFonts w:ascii="Arial" w:cs="Arial" w:eastAsia="Arial" w:hAnsi="Arial"/>
          <w:sz w:val="17"/>
          <w:szCs w:val="17"/>
          <w:color w:val="auto"/>
        </w:rPr>
      </w:pPr>
    </w:p>
    <w:p>
      <w:pPr>
        <w:ind w:left="980" w:hanging="359"/>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w:t>
      </w:r>
    </w:p>
    <w:p>
      <w:pPr>
        <w:spacing w:after="0" w:line="19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and any custodian, receiver, assignee, trustee, liquidator, examiner,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spacing w:after="0" w:line="155" w:lineRule="exact"/>
        <w:rPr>
          <w:sz w:val="20"/>
          <w:szCs w:val="20"/>
          <w:color w:val="auto"/>
        </w:rPr>
      </w:pPr>
    </w:p>
    <w:p>
      <w:pPr>
        <w:jc w:val="both"/>
        <w:ind w:right="180" w:firstLine="618"/>
        <w:spacing w:after="0" w:line="255"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50" w:lineRule="exact"/>
        <w:rPr>
          <w:sz w:val="20"/>
          <w:szCs w:val="20"/>
          <w:color w:val="auto"/>
        </w:rPr>
      </w:pPr>
    </w:p>
    <w:p>
      <w:pPr>
        <w:ind w:right="60" w:firstLine="618"/>
        <w:spacing w:after="0" w:line="24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Trustee May Enforce Claims without Possession of Securities.</w:t>
      </w:r>
      <w:r>
        <w:rPr>
          <w:rFonts w:ascii="Arial" w:cs="Arial" w:eastAsia="Arial" w:hAnsi="Arial"/>
          <w:sz w:val="17"/>
          <w:szCs w:val="17"/>
          <w:color w:val="auto"/>
        </w:rPr>
        <w:t xml:space="preserve">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57" w:lineRule="exact"/>
        <w:rPr>
          <w:sz w:val="20"/>
          <w:szCs w:val="20"/>
          <w:color w:val="auto"/>
        </w:rPr>
      </w:pPr>
    </w:p>
    <w:p>
      <w:pPr>
        <w:ind w:right="160" w:firstLine="618"/>
        <w:spacing w:after="0" w:line="255"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Application of Money Collected</w:t>
      </w:r>
      <w:r>
        <w:rPr>
          <w:rFonts w:ascii="Arial" w:cs="Arial" w:eastAsia="Arial" w:hAnsi="Arial"/>
          <w:sz w:val="17"/>
          <w:szCs w:val="17"/>
          <w:color w:val="auto"/>
        </w:rPr>
        <w:t>. 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First: </w:t>
      </w:r>
      <w:r>
        <w:rPr>
          <w:rFonts w:ascii="Arial" w:cs="Arial" w:eastAsia="Arial" w:hAnsi="Arial"/>
          <w:sz w:val="17"/>
          <w:szCs w:val="17"/>
          <w:color w:val="auto"/>
        </w:rPr>
        <w:t>To the payment of all amounts due the Trustee under Section‎ 7.07; and</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40"/>
          </w:cols>
          <w:pgMar w:left="320" w:top="522" w:right="439" w:bottom="1440" w:gutter="0" w:footer="0" w:header="0"/>
        </w:sectPr>
      </w:pPr>
    </w:p>
    <w:bookmarkStart w:id="79" w:name="page80"/>
    <w:bookmarkEnd w:id="79"/>
    <w:p>
      <w:pPr>
        <w:ind w:right="260" w:firstLine="618"/>
        <w:spacing w:after="0" w:line="255" w:lineRule="auto"/>
        <w:rPr>
          <w:sz w:val="20"/>
          <w:szCs w:val="20"/>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the payment of the amounts then due and unpaid for principal of and interest on the Securities in respect of which or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which such money has been collected, ratably, without preference or priority of any kind, according to the amounts due and payable on such Securities for principal and interest, respectively; and</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To the Company.</w:t>
      </w:r>
    </w:p>
    <w:p>
      <w:pPr>
        <w:spacing w:after="0" w:line="191" w:lineRule="exact"/>
        <w:rPr>
          <w:sz w:val="20"/>
          <w:szCs w:val="20"/>
          <w:color w:val="auto"/>
        </w:rPr>
      </w:pPr>
    </w:p>
    <w:p>
      <w:pPr>
        <w:ind w:right="580" w:firstLine="618"/>
        <w:spacing w:after="0" w:line="273"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i w:val="1"/>
          <w:iCs w:val="1"/>
          <w:color w:val="auto"/>
        </w:rPr>
        <w:t>Limitation on Suits.</w:t>
      </w:r>
      <w:r>
        <w:rPr>
          <w:rFonts w:ascii="Arial" w:cs="Arial" w:eastAsia="Arial" w:hAnsi="Arial"/>
          <w:sz w:val="17"/>
          <w:szCs w:val="17"/>
          <w:color w:val="auto"/>
        </w:rPr>
        <w:t xml:space="preserve"> No Holder of any Security of any Series shall have any right to institute any proceeding, judicial or otherwise, with respect to this Indenture, or for the appointment of a receiver or trustee, or for any other remedy hereunder, unless</w:t>
      </w:r>
    </w:p>
    <w:p>
      <w:pPr>
        <w:spacing w:after="0" w:line="135" w:lineRule="exact"/>
        <w:rPr>
          <w:sz w:val="20"/>
          <w:szCs w:val="20"/>
          <w:color w:val="auto"/>
        </w:rPr>
      </w:pPr>
    </w:p>
    <w:p>
      <w:pPr>
        <w:ind w:right="280" w:firstLine="621"/>
        <w:spacing w:after="0" w:line="273" w:lineRule="auto"/>
        <w:tabs>
          <w:tab w:leader="none" w:pos="9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an Event of Default and the continuance thereof with respect to the Securities of that Series;</w:t>
      </w:r>
    </w:p>
    <w:p>
      <w:pPr>
        <w:spacing w:after="0" w:line="134" w:lineRule="exact"/>
        <w:rPr>
          <w:rFonts w:ascii="Arial" w:cs="Arial" w:eastAsia="Arial" w:hAnsi="Arial"/>
          <w:sz w:val="17"/>
          <w:szCs w:val="17"/>
          <w:color w:val="auto"/>
        </w:rPr>
      </w:pPr>
    </w:p>
    <w:p>
      <w:pPr>
        <w:ind w:right="80" w:firstLine="621"/>
        <w:spacing w:after="0" w:line="273" w:lineRule="auto"/>
        <w:tabs>
          <w:tab w:leader="none" w:pos="9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4" w:lineRule="exact"/>
        <w:rPr>
          <w:rFonts w:ascii="Arial" w:cs="Arial" w:eastAsia="Arial" w:hAnsi="Arial"/>
          <w:sz w:val="17"/>
          <w:szCs w:val="17"/>
          <w:color w:val="auto"/>
        </w:rPr>
      </w:pPr>
    </w:p>
    <w:p>
      <w:pPr>
        <w:ind w:right="220" w:firstLine="621"/>
        <w:spacing w:after="0" w:line="273" w:lineRule="auto"/>
        <w:tabs>
          <w:tab w:leader="none" w:pos="9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Holder or Holders have offered to the Trustee reasonable security or indemnity satisfactory to the Trustee against the expenses and liabilities to be incurred in compliance with such request;</w:t>
      </w:r>
    </w:p>
    <w:p>
      <w:pPr>
        <w:spacing w:after="0" w:line="134" w:lineRule="exact"/>
        <w:rPr>
          <w:rFonts w:ascii="Arial" w:cs="Arial" w:eastAsia="Arial" w:hAnsi="Arial"/>
          <w:sz w:val="17"/>
          <w:szCs w:val="17"/>
          <w:color w:val="auto"/>
        </w:rPr>
      </w:pPr>
    </w:p>
    <w:p>
      <w:pPr>
        <w:ind w:left="980" w:hanging="359"/>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190" w:lineRule="exact"/>
        <w:rPr>
          <w:rFonts w:ascii="Arial" w:cs="Arial" w:eastAsia="Arial" w:hAnsi="Arial"/>
          <w:sz w:val="17"/>
          <w:szCs w:val="17"/>
          <w:color w:val="auto"/>
        </w:rPr>
      </w:pPr>
    </w:p>
    <w:p>
      <w:pPr>
        <w:ind w:firstLine="621"/>
        <w:spacing w:after="0" w:line="273" w:lineRule="auto"/>
        <w:tabs>
          <w:tab w:leader="none" w:pos="9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direction inconsistent with such written request has been given to the Trustee during such 60-day period by the Holders of a majority in principal amount of the outstanding Securities of that Series;</w:t>
      </w:r>
    </w:p>
    <w:p>
      <w:pPr>
        <w:spacing w:after="0" w:line="135"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55" w:lineRule="exact"/>
        <w:rPr>
          <w:sz w:val="20"/>
          <w:szCs w:val="20"/>
          <w:color w:val="auto"/>
        </w:rPr>
      </w:pPr>
    </w:p>
    <w:p>
      <w:pPr>
        <w:ind w:right="220" w:firstLine="618"/>
        <w:spacing w:after="0" w:line="249"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i w:val="1"/>
          <w:iCs w:val="1"/>
          <w:color w:val="auto"/>
        </w:rPr>
        <w:t>Unconditional Right of Holders to Receive Principal and Interest.</w:t>
      </w:r>
      <w:r>
        <w:rPr>
          <w:rFonts w:ascii="Arial" w:cs="Arial" w:eastAsia="Arial" w:hAnsi="Arial"/>
          <w:sz w:val="17"/>
          <w:szCs w:val="17"/>
          <w:color w:val="auto"/>
        </w:rPr>
        <w:t xml:space="preserve"> 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55" w:lineRule="exact"/>
        <w:rPr>
          <w:sz w:val="20"/>
          <w:szCs w:val="20"/>
          <w:color w:val="auto"/>
        </w:rPr>
      </w:pPr>
    </w:p>
    <w:p>
      <w:pPr>
        <w:ind w:right="40" w:firstLine="618"/>
        <w:spacing w:after="0" w:line="24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Restoration of Rights and Remedies</w:t>
      </w:r>
      <w:r>
        <w:rPr>
          <w:rFonts w:ascii="Arial" w:cs="Arial" w:eastAsia="Arial" w:hAnsi="Arial"/>
          <w:sz w:val="17"/>
          <w:szCs w:val="17"/>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ind w:firstLine="618"/>
        <w:spacing w:after="0" w:line="246"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0" w:name="page81"/>
    <w:bookmarkEnd w:id="80"/>
    <w:p>
      <w:pPr>
        <w:ind w:right="60" w:firstLine="618"/>
        <w:spacing w:after="0" w:line="249"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i w:val="1"/>
          <w:iCs w:val="1"/>
          <w:color w:val="auto"/>
        </w:rPr>
        <w:t>Delay or Omission Not Waiver</w:t>
      </w:r>
      <w:r>
        <w:rPr>
          <w:rFonts w:ascii="Arial" w:cs="Arial" w:eastAsia="Arial" w:hAnsi="Arial"/>
          <w:sz w:val="17"/>
          <w:szCs w:val="17"/>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55" w:lineRule="exact"/>
        <w:rPr>
          <w:sz w:val="20"/>
          <w:szCs w:val="20"/>
          <w:color w:val="auto"/>
        </w:rPr>
      </w:pPr>
    </w:p>
    <w:p>
      <w:pPr>
        <w:ind w:right="160" w:firstLine="618"/>
        <w:spacing w:after="0" w:line="255"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Control by Holders</w:t>
      </w:r>
      <w:r>
        <w:rPr>
          <w:rFonts w:ascii="Arial" w:cs="Arial" w:eastAsia="Arial" w:hAnsi="Arial"/>
          <w:sz w:val="17"/>
          <w:szCs w:val="17"/>
          <w:color w:val="auto"/>
        </w:rPr>
        <w:t>.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50" w:lineRule="exact"/>
        <w:rPr>
          <w:sz w:val="20"/>
          <w:szCs w:val="20"/>
          <w:color w:val="auto"/>
        </w:rPr>
      </w:pPr>
    </w:p>
    <w:p>
      <w:pPr>
        <w:ind w:left="980" w:hanging="359"/>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which is not inconsistent with such direction, and</w:t>
      </w:r>
    </w:p>
    <w:p>
      <w:pPr>
        <w:spacing w:after="0" w:line="190" w:lineRule="exact"/>
        <w:rPr>
          <w:rFonts w:ascii="Arial" w:cs="Arial" w:eastAsia="Arial" w:hAnsi="Arial"/>
          <w:sz w:val="17"/>
          <w:szCs w:val="17"/>
          <w:color w:val="auto"/>
        </w:rPr>
      </w:pPr>
    </w:p>
    <w:p>
      <w:pPr>
        <w:ind w:right="240" w:firstLine="621"/>
        <w:spacing w:after="0" w:line="273" w:lineRule="auto"/>
        <w:tabs>
          <w:tab w:leader="none" w:pos="961"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subject to the provisions of Section‎ 6.01, the Trustee shall have the right to decline to follow any such direction if the Trustee in good faith shall, by a Trust Officer of the Trustee, determine that the proceeding so directed would involve the Trustee in personal liability.</w:t>
      </w:r>
    </w:p>
    <w:p>
      <w:pPr>
        <w:spacing w:after="0" w:line="135" w:lineRule="exact"/>
        <w:rPr>
          <w:sz w:val="20"/>
          <w:szCs w:val="20"/>
          <w:color w:val="auto"/>
        </w:rPr>
      </w:pPr>
    </w:p>
    <w:p>
      <w:pPr>
        <w:ind w:right="80" w:firstLine="618"/>
        <w:spacing w:after="0" w:line="243"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Waiver of Past Defaults</w:t>
      </w:r>
      <w:r>
        <w:rPr>
          <w:rFonts w:ascii="Arial" w:cs="Arial" w:eastAsia="Arial" w:hAnsi="Arial"/>
          <w:sz w:val="17"/>
          <w:szCs w:val="17"/>
          <w:color w:val="auto"/>
        </w:rPr>
        <w:t>.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0" w:lineRule="exact"/>
        <w:rPr>
          <w:sz w:val="20"/>
          <w:szCs w:val="20"/>
          <w:color w:val="auto"/>
        </w:rPr>
      </w:pPr>
    </w:p>
    <w:p>
      <w:pPr>
        <w:ind w:firstLine="618"/>
        <w:spacing w:after="0" w:line="241"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i w:val="1"/>
          <w:iCs w:val="1"/>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rustee</w:t>
      </w:r>
    </w:p>
    <w:p>
      <w:pPr>
        <w:spacing w:after="0" w:line="175" w:lineRule="exact"/>
        <w:rPr>
          <w:sz w:val="20"/>
          <w:szCs w:val="20"/>
          <w:color w:val="auto"/>
        </w:rPr>
      </w:pPr>
    </w:p>
    <w:p>
      <w:pPr>
        <w:ind w:right="140" w:firstLine="618"/>
        <w:spacing w:after="0" w:line="25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Duties of Trustee.</w:t>
      </w:r>
      <w:r>
        <w:rPr>
          <w:rFonts w:ascii="Arial" w:cs="Arial" w:eastAsia="Arial" w:hAnsi="Arial"/>
          <w:sz w:val="17"/>
          <w:szCs w:val="17"/>
          <w:color w:val="auto"/>
        </w:rPr>
        <w:t xml:space="preserve"> (a)If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50" w:lineRule="exact"/>
        <w:rPr>
          <w:sz w:val="20"/>
          <w:szCs w:val="20"/>
          <w:color w:val="auto"/>
        </w:rPr>
      </w:pPr>
    </w:p>
    <w:p>
      <w:pPr>
        <w:ind w:left="620"/>
        <w:spacing w:after="0"/>
        <w:tabs>
          <w:tab w:leader="none" w:pos="960" w:val="left"/>
        </w:tabs>
        <w:rPr>
          <w:sz w:val="20"/>
          <w:szCs w:val="20"/>
          <w:color w:val="auto"/>
        </w:rPr>
      </w:pPr>
      <w:r>
        <w:rPr>
          <w:rFonts w:ascii="Arial" w:cs="Arial" w:eastAsia="Arial" w:hAnsi="Arial"/>
          <w:sz w:val="17"/>
          <w:szCs w:val="17"/>
          <w:color w:val="auto"/>
        </w:rPr>
        <w:t>(b)</w:t>
        <w:tab/>
        <w:t>Except during the continuance of an Event of Default:</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81" w:name="page82"/>
    <w:bookmarkEnd w:id="81"/>
    <w:p>
      <w:pPr>
        <w:ind w:left="620" w:firstLine="928"/>
        <w:spacing w:after="0" w:line="273" w:lineRule="auto"/>
        <w:tabs>
          <w:tab w:leader="none" w:pos="1842"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Trustee need perform only those duties that are specifically set forth in this Indenture and no other implied covenants or obligations shall be read into this Indenture against the Trustee; and</w:t>
      </w:r>
    </w:p>
    <w:p>
      <w:pPr>
        <w:spacing w:after="0" w:line="134" w:lineRule="exact"/>
        <w:rPr>
          <w:rFonts w:ascii="Arial" w:cs="Arial" w:eastAsia="Arial" w:hAnsi="Arial"/>
          <w:sz w:val="17"/>
          <w:szCs w:val="17"/>
          <w:color w:val="auto"/>
        </w:rPr>
      </w:pPr>
    </w:p>
    <w:p>
      <w:pPr>
        <w:ind w:left="620" w:right="60" w:firstLine="928"/>
        <w:spacing w:after="0" w:line="249" w:lineRule="auto"/>
        <w:tabs>
          <w:tab w:leader="none" w:pos="1881"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or not they conform to the requirements of this Indenture.</w:t>
      </w:r>
    </w:p>
    <w:p>
      <w:pPr>
        <w:spacing w:after="0" w:line="154" w:lineRule="exact"/>
        <w:rPr>
          <w:rFonts w:ascii="Arial" w:cs="Arial" w:eastAsia="Arial" w:hAnsi="Arial"/>
          <w:sz w:val="17"/>
          <w:szCs w:val="17"/>
          <w:color w:val="auto"/>
        </w:rPr>
      </w:pPr>
    </w:p>
    <w:p>
      <w:pPr>
        <w:ind w:left="960" w:hanging="339"/>
        <w:spacing w:after="0"/>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 misconduct,</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except that:</w:t>
      </w:r>
    </w:p>
    <w:p>
      <w:pPr>
        <w:spacing w:after="0" w:line="174" w:lineRule="exact"/>
        <w:rPr>
          <w:rFonts w:ascii="Arial" w:cs="Arial" w:eastAsia="Arial" w:hAnsi="Arial"/>
          <w:sz w:val="17"/>
          <w:szCs w:val="17"/>
          <w:color w:val="auto"/>
        </w:rPr>
      </w:pPr>
    </w:p>
    <w:p>
      <w:pPr>
        <w:ind w:left="1840" w:hanging="292"/>
        <w:spacing w:after="0"/>
        <w:tabs>
          <w:tab w:leader="none" w:pos="18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this paragraph does not limit the effect of paragraph (a)‎ of this Section;</w:t>
      </w:r>
    </w:p>
    <w:p>
      <w:pPr>
        <w:spacing w:after="0" w:line="190" w:lineRule="exact"/>
        <w:rPr>
          <w:rFonts w:ascii="Arial" w:cs="Arial" w:eastAsia="Arial" w:hAnsi="Arial"/>
          <w:sz w:val="17"/>
          <w:szCs w:val="17"/>
          <w:color w:val="auto"/>
        </w:rPr>
      </w:pPr>
    </w:p>
    <w:p>
      <w:pPr>
        <w:ind w:left="620" w:right="240" w:firstLine="928"/>
        <w:spacing w:after="0" w:line="273" w:lineRule="auto"/>
        <w:tabs>
          <w:tab w:leader="none" w:pos="1881"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Trustee shall not be liable for any error of judgment made in good faith by a Trust Officer, unless it is proved that the Trustee was negligent in ascertaining the pertinent facts; and</w:t>
      </w:r>
    </w:p>
    <w:p>
      <w:pPr>
        <w:spacing w:after="0" w:line="134" w:lineRule="exact"/>
        <w:rPr>
          <w:rFonts w:ascii="Arial" w:cs="Arial" w:eastAsia="Arial" w:hAnsi="Arial"/>
          <w:sz w:val="17"/>
          <w:szCs w:val="17"/>
          <w:color w:val="auto"/>
        </w:rPr>
      </w:pPr>
    </w:p>
    <w:p>
      <w:pPr>
        <w:ind w:left="620" w:right="40" w:firstLine="928"/>
        <w:spacing w:after="0" w:line="273" w:lineRule="auto"/>
        <w:tabs>
          <w:tab w:leader="none" w:pos="1919"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it takes or omits to take with respect to Securities of any Series in good faith in accordance with the direction of the Holders of a majority in principal amount of the outstanding Securities of such Series.</w:t>
      </w:r>
    </w:p>
    <w:p>
      <w:pPr>
        <w:spacing w:after="0" w:line="134" w:lineRule="exact"/>
        <w:rPr>
          <w:rFonts w:ascii="Arial" w:cs="Arial" w:eastAsia="Arial" w:hAnsi="Arial"/>
          <w:sz w:val="17"/>
          <w:szCs w:val="17"/>
          <w:color w:val="auto"/>
        </w:rPr>
      </w:pPr>
    </w:p>
    <w:p>
      <w:pPr>
        <w:ind w:left="980" w:hanging="359"/>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paragraph (a),‎ (b),‎ (c)‎ and (g)‎ of this Section.</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Company.</w:t>
      </w:r>
    </w:p>
    <w:p>
      <w:pPr>
        <w:spacing w:after="0" w:line="190" w:lineRule="exact"/>
        <w:rPr>
          <w:rFonts w:ascii="Arial" w:cs="Arial" w:eastAsia="Arial" w:hAnsi="Arial"/>
          <w:sz w:val="17"/>
          <w:szCs w:val="17"/>
          <w:color w:val="auto"/>
        </w:rPr>
      </w:pPr>
    </w:p>
    <w:p>
      <w:pPr>
        <w:ind w:left="920" w:hanging="299"/>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Money held in trust by the Trustee need not be segregated from other funds except to the extent required by law.</w:t>
      </w:r>
    </w:p>
    <w:p>
      <w:pPr>
        <w:spacing w:after="0" w:line="190" w:lineRule="exact"/>
        <w:rPr>
          <w:rFonts w:ascii="Arial" w:cs="Arial" w:eastAsia="Arial" w:hAnsi="Arial"/>
          <w:sz w:val="17"/>
          <w:szCs w:val="17"/>
          <w:color w:val="auto"/>
        </w:rPr>
      </w:pPr>
    </w:p>
    <w:p>
      <w:pPr>
        <w:ind w:right="280" w:firstLine="621"/>
        <w:spacing w:after="0" w:line="255" w:lineRule="auto"/>
        <w:tabs>
          <w:tab w:leader="none" w:pos="971"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is not reasonably assured to it.</w:t>
      </w:r>
    </w:p>
    <w:p>
      <w:pPr>
        <w:spacing w:after="0" w:line="149" w:lineRule="exact"/>
        <w:rPr>
          <w:rFonts w:ascii="Arial" w:cs="Arial" w:eastAsia="Arial" w:hAnsi="Arial"/>
          <w:sz w:val="17"/>
          <w:szCs w:val="17"/>
          <w:color w:val="auto"/>
        </w:rPr>
      </w:pPr>
    </w:p>
    <w:p>
      <w:pPr>
        <w:ind w:right="40" w:firstLine="621"/>
        <w:spacing w:after="0" w:line="273" w:lineRule="auto"/>
        <w:tabs>
          <w:tab w:leader="none" w:pos="971" w:val="left"/>
        </w:tabs>
        <w:numPr>
          <w:ilvl w:val="0"/>
          <w:numId w:val="53"/>
        </w:numPr>
        <w:rPr>
          <w:rFonts w:ascii="Arial" w:cs="Arial" w:eastAsia="Arial" w:hAnsi="Arial"/>
          <w:sz w:val="17"/>
          <w:szCs w:val="17"/>
          <w:color w:val="auto"/>
        </w:rPr>
      </w:pPr>
      <w:r>
        <w:rPr>
          <w:rFonts w:ascii="Arial" w:cs="Arial" w:eastAsia="Arial" w:hAnsi="Arial"/>
          <w:sz w:val="17"/>
          <w:szCs w:val="17"/>
          <w:color w:val="auto"/>
        </w:rPr>
        <w:t>Every provision of this Indenture relating to the conduct or affecting the liability of or affording protection to the Trustee shall be subject to the provisions of this Section and to the provisions of the TIA.</w:t>
      </w:r>
    </w:p>
    <w:p>
      <w:pPr>
        <w:spacing w:after="0" w:line="135" w:lineRule="exact"/>
        <w:rPr>
          <w:sz w:val="20"/>
          <w:szCs w:val="20"/>
          <w:color w:val="auto"/>
        </w:rPr>
      </w:pPr>
    </w:p>
    <w:p>
      <w:pPr>
        <w:ind w:right="580" w:firstLine="618"/>
        <w:spacing w:after="0" w:line="27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Rights of Trustee</w:t>
      </w:r>
      <w:r>
        <w:rPr>
          <w:rFonts w:ascii="Arial" w:cs="Arial" w:eastAsia="Arial" w:hAnsi="Arial"/>
          <w:sz w:val="17"/>
          <w:szCs w:val="17"/>
          <w:color w:val="auto"/>
        </w:rPr>
        <w:t>. (a)The Trustee may rely on any document believed by it to be genuine and to have been signed or presented by the proper person. The Trustee need not investigate any fact or matter stated in the document.</w:t>
      </w:r>
    </w:p>
    <w:p>
      <w:pPr>
        <w:spacing w:after="0" w:line="135" w:lineRule="exact"/>
        <w:rPr>
          <w:sz w:val="20"/>
          <w:szCs w:val="20"/>
          <w:color w:val="auto"/>
        </w:rPr>
      </w:pPr>
    </w:p>
    <w:p>
      <w:pPr>
        <w:ind w:right="300" w:firstLine="621"/>
        <w:spacing w:after="0" w:line="273" w:lineRule="auto"/>
        <w:tabs>
          <w:tab w:leader="none" w:pos="971" w:val="left"/>
        </w:tabs>
        <w:numPr>
          <w:ilvl w:val="0"/>
          <w:numId w:val="54"/>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the Officers’ Certificate or Opinion of Counsel.</w:t>
      </w:r>
    </w:p>
    <w:p>
      <w:pPr>
        <w:spacing w:after="0" w:line="134" w:lineRule="exact"/>
        <w:rPr>
          <w:rFonts w:ascii="Arial" w:cs="Arial" w:eastAsia="Arial" w:hAnsi="Arial"/>
          <w:sz w:val="17"/>
          <w:szCs w:val="17"/>
          <w:color w:val="auto"/>
        </w:rPr>
      </w:pPr>
    </w:p>
    <w:p>
      <w:pPr>
        <w:ind w:left="960" w:hanging="339"/>
        <w:spacing w:after="0"/>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may act through agents and shall not be responsible for the misconduct or negligence of any agent appointed with due</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care.</w:t>
      </w:r>
    </w:p>
    <w:p>
      <w:pPr>
        <w:spacing w:after="0" w:line="174" w:lineRule="exact"/>
        <w:rPr>
          <w:rFonts w:ascii="Arial" w:cs="Arial" w:eastAsia="Arial" w:hAnsi="Arial"/>
          <w:sz w:val="17"/>
          <w:szCs w:val="17"/>
          <w:color w:val="auto"/>
        </w:rPr>
      </w:pPr>
    </w:p>
    <w:p>
      <w:pPr>
        <w:ind w:left="980" w:hanging="359"/>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shall not be liable for any action it takes or omits to take in good faith which it believes to be authorized or within its rights</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or powers.</w:t>
      </w:r>
    </w:p>
    <w:p>
      <w:pPr>
        <w:spacing w:after="0" w:line="174" w:lineRule="exact"/>
        <w:rPr>
          <w:rFonts w:ascii="Arial" w:cs="Arial" w:eastAsia="Arial" w:hAnsi="Arial"/>
          <w:sz w:val="17"/>
          <w:szCs w:val="17"/>
          <w:color w:val="auto"/>
        </w:rPr>
      </w:pPr>
    </w:p>
    <w:p>
      <w:pPr>
        <w:ind w:right="80" w:firstLine="621"/>
        <w:spacing w:after="0" w:line="273" w:lineRule="auto"/>
        <w:tabs>
          <w:tab w:leader="none" w:pos="9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may consult with counsel, and the advice or opinion of counsel with respect to legal matters relating to this Indenture and the Securities shall be full and complete authorization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82" w:name="page83"/>
    <w:bookmarkEnd w:id="82"/>
    <w:p>
      <w:pPr>
        <w:ind w:right="100"/>
        <w:spacing w:after="0" w:line="273" w:lineRule="auto"/>
        <w:rPr>
          <w:sz w:val="20"/>
          <w:szCs w:val="20"/>
          <w:color w:val="auto"/>
        </w:rPr>
      </w:pPr>
      <w:r>
        <w:rPr>
          <w:rFonts w:ascii="Arial" w:cs="Arial" w:eastAsia="Arial" w:hAnsi="Arial"/>
          <w:sz w:val="17"/>
          <w:szCs w:val="17"/>
          <w:color w:val="auto"/>
        </w:rPr>
        <w:t>protection from liability in respect to any action taken, omitted or suffered by it hereunder in good faith and in accordance with the advice or opinion of such counsel.</w:t>
      </w:r>
    </w:p>
    <w:p>
      <w:pPr>
        <w:spacing w:after="0" w:line="135" w:lineRule="exact"/>
        <w:rPr>
          <w:sz w:val="20"/>
          <w:szCs w:val="20"/>
          <w:color w:val="auto"/>
        </w:rPr>
      </w:pPr>
    </w:p>
    <w:p>
      <w:pPr>
        <w:ind w:right="480" w:firstLine="621"/>
        <w:spacing w:after="0" w:line="255"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consent, order, approval, bond, debenture, note or other paper or document, but the Trustee, in its discretion, may make such further inquiry or investigation into such facts or matters as it may see fit.</w:t>
      </w:r>
    </w:p>
    <w:p>
      <w:pPr>
        <w:spacing w:after="0" w:line="149" w:lineRule="exact"/>
        <w:rPr>
          <w:rFonts w:ascii="Arial" w:cs="Arial" w:eastAsia="Arial" w:hAnsi="Arial"/>
          <w:sz w:val="17"/>
          <w:szCs w:val="17"/>
          <w:color w:val="auto"/>
        </w:rPr>
      </w:pPr>
    </w:p>
    <w:p>
      <w:pPr>
        <w:ind w:right="260" w:firstLine="621"/>
        <w:spacing w:after="0" w:line="255" w:lineRule="auto"/>
        <w:tabs>
          <w:tab w:leader="none" w:pos="96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satisfactory to the Trustee against the costs, expenses, losses and liabilities which may be incurred therein or thereby.</w:t>
      </w:r>
    </w:p>
    <w:p>
      <w:pPr>
        <w:spacing w:after="0" w:line="149" w:lineRule="exact"/>
        <w:rPr>
          <w:rFonts w:ascii="Arial" w:cs="Arial" w:eastAsia="Arial" w:hAnsi="Arial"/>
          <w:sz w:val="17"/>
          <w:szCs w:val="17"/>
          <w:color w:val="auto"/>
        </w:rPr>
      </w:pPr>
    </w:p>
    <w:p>
      <w:pPr>
        <w:ind w:firstLine="621"/>
        <w:spacing w:after="0" w:line="255" w:lineRule="auto"/>
        <w:tabs>
          <w:tab w:leader="none" w:pos="96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rights, privileges, protections, immunities and benefits given to the Trustee, including, without limitation, its rights to be indemnified, are extended to, and shall be enforceable by, the Trustee in each of its capacities hereunder, and to each agent, custodian and other Person employed to act hereunder.</w:t>
      </w:r>
    </w:p>
    <w:p>
      <w:pPr>
        <w:spacing w:after="0" w:line="149" w:lineRule="exact"/>
        <w:rPr>
          <w:rFonts w:ascii="Arial" w:cs="Arial" w:eastAsia="Arial" w:hAnsi="Arial"/>
          <w:sz w:val="17"/>
          <w:szCs w:val="17"/>
          <w:color w:val="auto"/>
        </w:rPr>
      </w:pPr>
    </w:p>
    <w:p>
      <w:pPr>
        <w:jc w:val="both"/>
        <w:ind w:right="140" w:firstLine="621"/>
        <w:spacing w:after="0" w:line="255" w:lineRule="auto"/>
        <w:tabs>
          <w:tab w:leader="none" w:pos="91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9" w:lineRule="exact"/>
        <w:rPr>
          <w:rFonts w:ascii="Arial" w:cs="Arial" w:eastAsia="Arial" w:hAnsi="Arial"/>
          <w:sz w:val="17"/>
          <w:szCs w:val="17"/>
          <w:color w:val="auto"/>
        </w:rPr>
      </w:pPr>
    </w:p>
    <w:p>
      <w:pPr>
        <w:ind w:left="920" w:hanging="299"/>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permissive rights of the Trustee enumerated herein shall not be construed as duties.</w:t>
      </w:r>
    </w:p>
    <w:p>
      <w:pPr>
        <w:spacing w:after="0" w:line="190" w:lineRule="exact"/>
        <w:rPr>
          <w:rFonts w:ascii="Arial" w:cs="Arial" w:eastAsia="Arial" w:hAnsi="Arial"/>
          <w:sz w:val="17"/>
          <w:szCs w:val="17"/>
          <w:color w:val="auto"/>
        </w:rPr>
      </w:pPr>
    </w:p>
    <w:p>
      <w:pPr>
        <w:ind w:left="620" w:right="40" w:firstLine="928"/>
        <w:spacing w:after="0" w:line="249" w:lineRule="auto"/>
        <w:tabs>
          <w:tab w:leader="none" w:pos="1842"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Delivery of reports, information and documents to the Trustee under Section‎ 4.02 is for informational purposes only and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54" w:lineRule="exact"/>
        <w:rPr>
          <w:rFonts w:ascii="Arial" w:cs="Arial" w:eastAsia="Arial" w:hAnsi="Arial"/>
          <w:sz w:val="17"/>
          <w:szCs w:val="17"/>
          <w:color w:val="auto"/>
        </w:rPr>
      </w:pPr>
    </w:p>
    <w:p>
      <w:pPr>
        <w:ind w:left="620" w:right="40" w:firstLine="928"/>
        <w:spacing w:after="0" w:line="255" w:lineRule="auto"/>
        <w:tabs>
          <w:tab w:leader="none" w:pos="1881"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Notwithstanding anything in this Indenture to the contrary, neither the Trustee nor any Agent shall be responsible or liable to any person for any indirect, special, punitive or consequential damage or loss (including but not limited to lost profits) whatsoever, even if the Trustee has been informed of the likelihood thereof and regardless of the form of action.</w:t>
      </w:r>
    </w:p>
    <w:p>
      <w:pPr>
        <w:spacing w:after="0" w:line="150" w:lineRule="exact"/>
        <w:rPr>
          <w:sz w:val="20"/>
          <w:szCs w:val="20"/>
          <w:color w:val="auto"/>
        </w:rPr>
      </w:pPr>
    </w:p>
    <w:p>
      <w:pPr>
        <w:ind w:right="140" w:firstLine="618"/>
        <w:spacing w:after="0" w:line="255"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Individual Rights of Trustee</w:t>
      </w:r>
      <w:r>
        <w:rPr>
          <w:rFonts w:ascii="Arial" w:cs="Arial" w:eastAsia="Arial" w:hAnsi="Arial"/>
          <w:sz w:val="17"/>
          <w:szCs w:val="17"/>
          <w:color w:val="auto"/>
        </w:rPr>
        <w:t>. The Trustee in its individual or any other capacity may become the owner or pledgee of Securities and may otherwise deal with the Company or an Affiliate with the same rights it would have if it were not Trustee. Any Agent may do the same with like rights. The Trustee is also subject to Sections 7‎.10 and 7‎.11.</w:t>
      </w:r>
    </w:p>
    <w:p>
      <w:pPr>
        <w:spacing w:after="0" w:line="150" w:lineRule="exact"/>
        <w:rPr>
          <w:sz w:val="20"/>
          <w:szCs w:val="20"/>
          <w:color w:val="auto"/>
        </w:rPr>
      </w:pPr>
    </w:p>
    <w:p>
      <w:pPr>
        <w:jc w:val="both"/>
        <w:ind w:firstLine="618"/>
        <w:spacing w:after="0" w:line="24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Trustee’s Disclaimer</w:t>
      </w:r>
      <w:r>
        <w:rPr>
          <w:rFonts w:ascii="Arial" w:cs="Arial" w:eastAsia="Arial" w:hAnsi="Arial"/>
          <w:sz w:val="17"/>
          <w:szCs w:val="17"/>
          <w:color w:val="auto"/>
        </w:rPr>
        <w:t>. The Trustee shall not be responsible and makes no representation as to the validity or adequacy of this Indenture or the Securities, it shall not be accountable for the Company’s use of the proceeds from the Securities, and it shall not be responsible for any statement in the Securities or in any document issued in connection with the sale of the Securities or in the Securities other than its certificate of authentication.</w:t>
      </w:r>
    </w:p>
    <w:p>
      <w:pPr>
        <w:spacing w:after="0" w:line="155" w:lineRule="exact"/>
        <w:rPr>
          <w:sz w:val="20"/>
          <w:szCs w:val="20"/>
          <w:color w:val="auto"/>
        </w:rPr>
      </w:pPr>
    </w:p>
    <w:p>
      <w:pPr>
        <w:ind w:right="60" w:firstLine="618"/>
        <w:spacing w:after="0" w:line="244"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Defaults</w:t>
      </w:r>
      <w:r>
        <w:rPr>
          <w:rFonts w:ascii="Arial" w:cs="Arial" w:eastAsia="Arial" w:hAnsi="Arial"/>
          <w:sz w:val="17"/>
          <w:szCs w:val="17"/>
          <w:color w:val="auto"/>
        </w:rPr>
        <w:t>. If a Default or Event of Default occurs and is continuing with respect to the Securities of any Series and if it is known to a Trust Officer of the Trustee, the Trustee shall send to each Securityholder of the Securities of that Series and, if any Bearer Securities are outstanding, publish on one occasion in an Authorized Newspaper, notice of a Default or Event of Default within 90 days after it occurs or 30 days after it is known to a Trust Officer or written notice of it is received by the Trustee. Except in the case of a Default or Event of Default in payment of principal, premium, if any, of or interest on any Security of any Series or in payment of any redemption obligation, the Trustee may</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83" w:name="page84"/>
    <w:bookmarkEnd w:id="83"/>
    <w:p>
      <w:pPr>
        <w:ind w:right="240"/>
        <w:spacing w:after="0" w:line="273" w:lineRule="auto"/>
        <w:rPr>
          <w:sz w:val="20"/>
          <w:szCs w:val="20"/>
          <w:color w:val="auto"/>
        </w:rPr>
      </w:pPr>
      <w:r>
        <w:rPr>
          <w:rFonts w:ascii="Arial" w:cs="Arial" w:eastAsia="Arial" w:hAnsi="Arial"/>
          <w:sz w:val="17"/>
          <w:szCs w:val="17"/>
          <w:color w:val="auto"/>
        </w:rPr>
        <w:t>withhold the notice if and so long as its corporate trust committee or a committee of its Trust Officers in good faith determines that withholding the notice is in the interests of Securityholders of that Series.</w:t>
      </w:r>
    </w:p>
    <w:p>
      <w:pPr>
        <w:spacing w:after="0" w:line="135"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7.06.</w:t>
      </w:r>
      <w:r>
        <w:rPr>
          <w:sz w:val="20"/>
          <w:szCs w:val="20"/>
          <w:color w:val="auto"/>
        </w:rPr>
        <w:tab/>
      </w:r>
      <w:r>
        <w:rPr>
          <w:rFonts w:ascii="Arial" w:cs="Arial" w:eastAsia="Arial" w:hAnsi="Arial"/>
          <w:sz w:val="17"/>
          <w:szCs w:val="17"/>
          <w:i w:val="1"/>
          <w:iCs w:val="1"/>
          <w:color w:val="auto"/>
        </w:rPr>
        <w:t xml:space="preserve">Reports by Trustee to Holders. </w:t>
      </w:r>
      <w:r>
        <w:rPr>
          <w:rFonts w:ascii="Arial" w:cs="Arial" w:eastAsia="Arial" w:hAnsi="Arial"/>
          <w:sz w:val="17"/>
          <w:szCs w:val="17"/>
          <w:color w:val="auto"/>
        </w:rPr>
        <w:t>As promptly as practicable after each May 15 beginning with [____], and in any event prior to</w:t>
      </w:r>
    </w:p>
    <w:p>
      <w:pPr>
        <w:spacing w:after="0" w:line="14"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July 15 in each year, the Trustee shall transmit by mail or by electronic transmission to all Securityholders, as their names and addresses appear on the register kept by the Registrar and, if any Bearer Securities are outstanding, publish in an Authorized Newspaper, a brief report dated as of May 15, each year if and to the extent required by TIA § 313(a). The Trustee shall also comply with TIA § 313(b) and TIA § 313(c).</w:t>
      </w:r>
    </w:p>
    <w:p>
      <w:pPr>
        <w:spacing w:after="0" w:line="158" w:lineRule="exact"/>
        <w:rPr>
          <w:sz w:val="20"/>
          <w:szCs w:val="20"/>
          <w:color w:val="auto"/>
        </w:rPr>
      </w:pPr>
    </w:p>
    <w:p>
      <w:pPr>
        <w:ind w:firstLine="618"/>
        <w:spacing w:after="0" w:line="255" w:lineRule="auto"/>
        <w:rPr>
          <w:sz w:val="20"/>
          <w:szCs w:val="20"/>
          <w:color w:val="auto"/>
        </w:rPr>
      </w:pPr>
      <w:r>
        <w:rPr>
          <w:rFonts w:ascii="Arial" w:cs="Arial" w:eastAsia="Arial" w:hAnsi="Arial"/>
          <w:sz w:val="17"/>
          <w:szCs w:val="17"/>
          <w:color w:val="auto"/>
        </w:rPr>
        <w:t>A copy of each report at the time of its sending to Securityholders of any Series shall be filed with the SEC and each stock exchange (if any) on which the Securities of that Series are listed. The Company shall promptly notify the Trustee when Securities of any Series are listed on any stock exchange and of any delisting thereof.</w:t>
      </w:r>
    </w:p>
    <w:p>
      <w:pPr>
        <w:spacing w:after="0" w:line="150" w:lineRule="exact"/>
        <w:rPr>
          <w:sz w:val="20"/>
          <w:szCs w:val="20"/>
          <w:color w:val="auto"/>
        </w:rPr>
      </w:pPr>
    </w:p>
    <w:p>
      <w:pPr>
        <w:ind w:firstLine="618"/>
        <w:spacing w:after="0"/>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Compensation and Indemnity</w:t>
      </w:r>
      <w:r>
        <w:rPr>
          <w:rFonts w:ascii="Arial" w:cs="Arial" w:eastAsia="Arial" w:hAnsi="Arial"/>
          <w:sz w:val="17"/>
          <w:szCs w:val="17"/>
          <w:color w:val="auto"/>
        </w:rPr>
        <w:t>. The Company shall pay to the Trustee from time to time such compensation as the 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costs of collection, in addition to the compensation for its services. Such expenses shall include the reasonable compensation and expenses, disbursements and advances of the Trustee’s agents, counsel, accountants and experts. The Company shall indemnify the Trustee, its officers, directors, employees and agents, and hold each of them harmless, against any and all loss, liability or expense (including reasonable attorneys’ fees) incurred by or in connection with the offer and sale of the Securities or the administration of this trust and the performance of its duties hereunder. The Trustee shall notify the Company of any claim for which it may seek indemnity promptly upon obtaining actual knowledge thereof; provided, however, that any failure so to notify the Company shall not relieve the Company of its indemnity obligations hereunder. The Company shall defend the claim and the indemnified party shall provide reasonable cooperation at the Company’s expense in the defense. Such indemnified parties may have separate counsel and the Company shall pay the fees and expenses of such counsel; provided, however, that the Company shall not be required to pay such fees and expenses if it assumes such indemnified parties’ defense and, in such indemnified parties’ reasonable judgment, there is no conflict of interest between the Company and such parties in connection with such defense. The Company need not reimburse any expense or indemnify against any loss, liability or expense incurred by an indemnified party through such party’s own willful misconduct and gross negligence.</w:t>
      </w:r>
    </w:p>
    <w:p>
      <w:pPr>
        <w:spacing w:after="0" w:line="354" w:lineRule="exact"/>
        <w:rPr>
          <w:sz w:val="20"/>
          <w:szCs w:val="20"/>
          <w:color w:val="auto"/>
        </w:rPr>
      </w:pPr>
    </w:p>
    <w:p>
      <w:pPr>
        <w:jc w:val="both"/>
        <w:ind w:firstLine="618"/>
        <w:spacing w:after="0" w:line="255"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other than money or property held in trust to pay principal of and interest and any liquidated damages on particular Securities of that Series.</w:t>
      </w:r>
    </w:p>
    <w:p>
      <w:pPr>
        <w:spacing w:after="0" w:line="150" w:lineRule="exact"/>
        <w:rPr>
          <w:sz w:val="20"/>
          <w:szCs w:val="20"/>
          <w:color w:val="auto"/>
        </w:rPr>
      </w:pPr>
    </w:p>
    <w:p>
      <w:pPr>
        <w:ind w:right="280" w:firstLine="618"/>
        <w:spacing w:after="0" w:line="273" w:lineRule="auto"/>
        <w:rPr>
          <w:sz w:val="20"/>
          <w:szCs w:val="20"/>
          <w:color w:val="auto"/>
        </w:rPr>
      </w:pPr>
      <w:r>
        <w:rPr>
          <w:rFonts w:ascii="Arial" w:cs="Arial" w:eastAsia="Arial" w:hAnsi="Arial"/>
          <w:sz w:val="17"/>
          <w:szCs w:val="17"/>
          <w:color w:val="auto"/>
        </w:rPr>
        <w:t>The Company’s payment obligations pursuant to this Section shall survive the satisfaction or discharge of this Indenture, any rejection or termination of this Indenture under any bankruptcy law or the resignation or removal of the Trustee.</w:t>
      </w:r>
    </w:p>
    <w:p>
      <w:pPr>
        <w:spacing w:after="0" w:line="135" w:lineRule="exact"/>
        <w:rPr>
          <w:sz w:val="20"/>
          <w:szCs w:val="20"/>
          <w:color w:val="auto"/>
        </w:rPr>
      </w:pPr>
    </w:p>
    <w:p>
      <w:pPr>
        <w:ind w:right="40" w:firstLine="618"/>
        <w:spacing w:after="0" w:line="273" w:lineRule="auto"/>
        <w:rPr>
          <w:sz w:val="20"/>
          <w:szCs w:val="20"/>
          <w:color w:val="auto"/>
        </w:rPr>
      </w:pPr>
      <w:r>
        <w:rPr>
          <w:rFonts w:ascii="Arial" w:cs="Arial" w:eastAsia="Arial" w:hAnsi="Arial"/>
          <w:sz w:val="17"/>
          <w:szCs w:val="17"/>
          <w:color w:val="auto"/>
        </w:rPr>
        <w:t>When the Trustee incurs expenses or renders services after an Event of Default specified in Section‎ 6.01(f) or (g)‎ occurs, the expenses and the compensation for the services are intended to constitute expenses of administration under any Bankruptcy Law.</w:t>
      </w:r>
    </w:p>
    <w:p>
      <w:pPr>
        <w:spacing w:after="0" w:line="135"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i w:val="1"/>
          <w:iCs w:val="1"/>
          <w:color w:val="auto"/>
        </w:rPr>
        <w:t>Replacement of Trustee.</w:t>
      </w:r>
      <w:r>
        <w:rPr>
          <w:rFonts w:ascii="Arial" w:cs="Arial" w:eastAsia="Arial" w:hAnsi="Arial"/>
          <w:sz w:val="17"/>
          <w:szCs w:val="17"/>
          <w:color w:val="auto"/>
        </w:rPr>
        <w:t xml:space="preserve"> The Trustee may resign with respect to the Securities of one or more Series at any time by so notifying the Company. The Holders of a majority in principal amount of the Securities of any Series may remove the Trustee with respect to that Series by so notifying the Trustee and may appoint a successor Trustee. The Company shall remove the Trustee with respect to Securities of one or more Series if:</w:t>
      </w:r>
    </w:p>
    <w:p>
      <w:pPr>
        <w:spacing w:after="0" w:line="155" w:lineRule="exact"/>
        <w:rPr>
          <w:sz w:val="20"/>
          <w:szCs w:val="20"/>
          <w:color w:val="auto"/>
        </w:rPr>
      </w:pPr>
    </w:p>
    <w:p>
      <w:pPr>
        <w:ind w:left="620"/>
        <w:spacing w:after="0"/>
        <w:tabs>
          <w:tab w:leader="none" w:pos="960" w:val="left"/>
        </w:tabs>
        <w:rPr>
          <w:sz w:val="20"/>
          <w:szCs w:val="20"/>
          <w:color w:val="auto"/>
        </w:rPr>
      </w:pPr>
      <w:r>
        <w:rPr>
          <w:rFonts w:ascii="Arial" w:cs="Arial" w:eastAsia="Arial" w:hAnsi="Arial"/>
          <w:sz w:val="17"/>
          <w:szCs w:val="17"/>
          <w:color w:val="auto"/>
        </w:rPr>
        <w:t>(a)</w:t>
        <w:tab/>
        <w:t>the Trustee fails to comply with Section‎ 7.10;</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4" w:name="page85"/>
    <w:bookmarkEnd w:id="84"/>
    <w:p>
      <w:pPr>
        <w:ind w:left="980" w:hanging="359"/>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is adjudged bankrupt or insolvent;</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receiver or other public officer takes charge of the Trustee or its property; or</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otherwise becomes incapable of acting.</w:t>
      </w:r>
    </w:p>
    <w:p>
      <w:pPr>
        <w:spacing w:after="0" w:line="191" w:lineRule="exact"/>
        <w:rPr>
          <w:sz w:val="20"/>
          <w:szCs w:val="20"/>
          <w:color w:val="auto"/>
        </w:rPr>
      </w:pPr>
    </w:p>
    <w:p>
      <w:pPr>
        <w:ind w:right="260" w:firstLine="618"/>
        <w:spacing w:after="0" w:line="255" w:lineRule="auto"/>
        <w:rPr>
          <w:sz w:val="20"/>
          <w:szCs w:val="20"/>
          <w:color w:val="auto"/>
        </w:rPr>
      </w:pPr>
      <w:r>
        <w:rPr>
          <w:rFonts w:ascii="Arial" w:cs="Arial" w:eastAsia="Arial" w:hAnsi="Arial"/>
          <w:sz w:val="17"/>
          <w:szCs w:val="17"/>
          <w:color w:val="auto"/>
        </w:rPr>
        <w:t>If the Trustee resigns, is removed by the Company or by the Holders of a majority in principal amount of the Securities of any Series and such Securityholders do not reasonably promptly appoint a successor Trustee, or if a vacancy exists in the office of Trustee for any reason (the Trustee in such event being referred to herein as the retiring Trustee), the Company shall promptly appoint a successor Trustee.</w:t>
      </w:r>
    </w:p>
    <w:p>
      <w:pPr>
        <w:spacing w:after="0" w:line="150" w:lineRule="exact"/>
        <w:rPr>
          <w:sz w:val="20"/>
          <w:szCs w:val="20"/>
          <w:color w:val="auto"/>
        </w:rPr>
      </w:pPr>
    </w:p>
    <w:p>
      <w:pPr>
        <w:ind w:right="60" w:firstLine="618"/>
        <w:spacing w:after="0" w:line="244"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with respect to each Series of Securities for which it is acting as Trustee under this Indenture. The successor Trustee shall send a notice of its succession to each Securityholder of each such Series and, if any Bearer Securities are outstanding, publish such notice on one occasion in an Authorized Newspaper. The retiring Trustee shall promptly transfer all property held by it as Trustee to the successor Trustee, subject to the lien provided for in ‎Section 7.07.</w:t>
      </w:r>
    </w:p>
    <w:p>
      <w:pPr>
        <w:spacing w:after="0" w:line="160" w:lineRule="exact"/>
        <w:rPr>
          <w:sz w:val="20"/>
          <w:szCs w:val="20"/>
          <w:color w:val="auto"/>
        </w:rPr>
      </w:pPr>
    </w:p>
    <w:p>
      <w:pPr>
        <w:ind w:firstLine="618"/>
        <w:spacing w:after="0" w:line="255" w:lineRule="auto"/>
        <w:rPr>
          <w:sz w:val="20"/>
          <w:szCs w:val="20"/>
          <w:color w:val="auto"/>
        </w:rPr>
      </w:pPr>
      <w:r>
        <w:rPr>
          <w:rFonts w:ascii="Arial" w:cs="Arial" w:eastAsia="Arial" w:hAnsi="Arial"/>
          <w:sz w:val="17"/>
          <w:szCs w:val="17"/>
          <w:color w:val="auto"/>
        </w:rPr>
        <w:t>If a successor Trustee with respect to the Securities of any one or more Series does not take office within 60 days after the retiring Trustee resigns or is removed, the retiring Trustee or the Holders of 10% in principal amount of the Securities of the applicable Series may petition any court of competent jurisdiction for the appointment of a successor Trustee.</w:t>
      </w:r>
    </w:p>
    <w:p>
      <w:pPr>
        <w:spacing w:after="0" w:line="150" w:lineRule="exact"/>
        <w:rPr>
          <w:sz w:val="20"/>
          <w:szCs w:val="20"/>
          <w:color w:val="auto"/>
        </w:rPr>
      </w:pPr>
    </w:p>
    <w:p>
      <w:pPr>
        <w:ind w:firstLine="618"/>
        <w:spacing w:after="0" w:line="273" w:lineRule="auto"/>
        <w:rPr>
          <w:sz w:val="20"/>
          <w:szCs w:val="20"/>
          <w:color w:val="auto"/>
        </w:rPr>
      </w:pPr>
      <w:r>
        <w:rPr>
          <w:rFonts w:ascii="Arial" w:cs="Arial" w:eastAsia="Arial" w:hAnsi="Arial"/>
          <w:sz w:val="17"/>
          <w:szCs w:val="17"/>
          <w:color w:val="auto"/>
        </w:rPr>
        <w:t>If the Trustee with respect to the Securities of any one or more Series fails to comply with Section‎ 7.10, any Securityholder of the applicable Series may petition any court of competent jurisdiction for the removal of the Trustee and the appointment of a successor Trustee.</w:t>
      </w:r>
    </w:p>
    <w:p>
      <w:pPr>
        <w:spacing w:after="0" w:line="135" w:lineRule="exact"/>
        <w:rPr>
          <w:sz w:val="20"/>
          <w:szCs w:val="20"/>
          <w:color w:val="auto"/>
        </w:rPr>
      </w:pPr>
    </w:p>
    <w:p>
      <w:pPr>
        <w:ind w:right="200" w:firstLine="618"/>
        <w:spacing w:after="0" w:line="273" w:lineRule="auto"/>
        <w:rPr>
          <w:sz w:val="20"/>
          <w:szCs w:val="20"/>
          <w:color w:val="auto"/>
        </w:rPr>
      </w:pPr>
      <w:r>
        <w:rPr>
          <w:rFonts w:ascii="Arial" w:cs="Arial" w:eastAsia="Arial" w:hAnsi="Arial"/>
          <w:sz w:val="17"/>
          <w:szCs w:val="17"/>
          <w:color w:val="auto"/>
        </w:rPr>
        <w:t>Notwithstanding the replacement of the Trustee pursuant to this Section, the Company’s obligations under Section‎ 7.07 shall continue for the benefit of the retiring Trustee.</w:t>
      </w:r>
    </w:p>
    <w:p>
      <w:pPr>
        <w:spacing w:after="0" w:line="135" w:lineRule="exact"/>
        <w:rPr>
          <w:sz w:val="20"/>
          <w:szCs w:val="20"/>
          <w:color w:val="auto"/>
        </w:rPr>
      </w:pPr>
    </w:p>
    <w:p>
      <w:pPr>
        <w:jc w:val="both"/>
        <w:ind w:right="140" w:firstLine="618"/>
        <w:spacing w:after="0" w:line="255"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Successor Trustee by Merger, etc.</w:t>
      </w:r>
      <w:r>
        <w:rPr>
          <w:rFonts w:ascii="Arial" w:cs="Arial" w:eastAsia="Arial" w:hAnsi="Arial"/>
          <w:sz w:val="17"/>
          <w:szCs w:val="17"/>
          <w:color w:val="auto"/>
        </w:rPr>
        <w:t xml:space="preserve"> If the Trustee consolidates with, merges or converts into, or transfers all or substantially all of its corporate trust business or assets to, another corporation or banking association, the resulting, surviving or transferee corporation without any further act shall be the successor Trustee.</w:t>
      </w:r>
    </w:p>
    <w:p>
      <w:pPr>
        <w:spacing w:after="0" w:line="150" w:lineRule="exact"/>
        <w:rPr>
          <w:sz w:val="20"/>
          <w:szCs w:val="20"/>
          <w:color w:val="auto"/>
        </w:rPr>
      </w:pPr>
    </w:p>
    <w:p>
      <w:pPr>
        <w:ind w:firstLine="618"/>
        <w:spacing w:after="0" w:line="243" w:lineRule="auto"/>
        <w:rPr>
          <w:sz w:val="20"/>
          <w:szCs w:val="20"/>
          <w:color w:val="auto"/>
        </w:rPr>
      </w:pPr>
      <w:r>
        <w:rPr>
          <w:rFonts w:ascii="Arial" w:cs="Arial" w:eastAsia="Arial" w:hAnsi="Arial"/>
          <w:sz w:val="17"/>
          <w:szCs w:val="17"/>
          <w:color w:val="auto"/>
        </w:rPr>
        <w:t>In case at the time such successor or successors by merger, conversion or consolidation to the Trustee with respect to the Securities of any one or more Series shall succeed to the trusts created by this Indenture any of the Securities of the applicable Series shall have been authenticated but not delivered, any such successor to such Trustee may adopt the certificate of authentication of any predecessor trustee, and deliver such Securities of the applicable Series so authenticated; and in case at that time any of the Securities of such Series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of such Series or in this Indenture provided that the certificate of the Trustee shall have.</w:t>
      </w:r>
    </w:p>
    <w:p>
      <w:pPr>
        <w:spacing w:after="0" w:line="160" w:lineRule="exact"/>
        <w:rPr>
          <w:sz w:val="20"/>
          <w:szCs w:val="20"/>
          <w:color w:val="auto"/>
        </w:rPr>
      </w:pPr>
    </w:p>
    <w:p>
      <w:pPr>
        <w:ind w:right="60" w:firstLine="618"/>
        <w:spacing w:after="0" w:line="246"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i w:val="1"/>
          <w:iCs w:val="1"/>
          <w:color w:val="auto"/>
        </w:rPr>
        <w:t>Eligibility; Disqualification</w:t>
      </w:r>
      <w:r>
        <w:rPr>
          <w:rFonts w:ascii="Arial" w:cs="Arial" w:eastAsia="Arial" w:hAnsi="Arial"/>
          <w:sz w:val="17"/>
          <w:szCs w:val="17"/>
          <w:color w:val="auto"/>
        </w:rPr>
        <w:t>. The Trustee shall at all times satisfy the requirements of TIA § 310(a). The Trustee shall have a combined capital and surplus of at least $100,000,000 as set forth in its most recent published annual report of condition. The Trustee shall comply with TIA § 310(b); provided, however, that there shall be excluded from the operation of TIA § 310(b)(1) any indenture or indentures under which other securities or certificates of interest or participation in other securities of the Company are outstanding if the requirements for such exclusion set forth in TIA § 310(b)(1) are met.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85" w:name="page86"/>
    <w:bookmarkEnd w:id="85"/>
    <w:p>
      <w:pPr>
        <w:ind w:right="560" w:firstLine="618"/>
        <w:spacing w:after="0" w:line="273"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Preferential Collection of Claims against Company.</w:t>
      </w:r>
      <w:r>
        <w:rPr>
          <w:rFonts w:ascii="Arial" w:cs="Arial" w:eastAsia="Arial" w:hAnsi="Arial"/>
          <w:sz w:val="17"/>
          <w:szCs w:val="17"/>
          <w:color w:val="auto"/>
        </w:rPr>
        <w:t xml:space="preserve"> The Trustee shall comply with TIA § 311(a), excluding any creditor relationship listed in TIA § 311(b). A Trustee who has resigned or been removed shall be subject to TIA § 311(a) to the extent indicated.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8</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atisfaction and</w:t>
      </w:r>
      <w:r>
        <w:rPr>
          <w:rFonts w:ascii="Arial" w:cs="Arial" w:eastAsia="Arial" w:hAnsi="Arial"/>
          <w:sz w:val="17"/>
          <w:szCs w:val="17"/>
          <w:color w:val="auto"/>
        </w:rPr>
        <w:t xml:space="preserve"> D</w:t>
      </w:r>
      <w:r>
        <w:rPr>
          <w:rFonts w:ascii="Arial" w:cs="Arial" w:eastAsia="Arial" w:hAnsi="Arial"/>
          <w:sz w:val="11"/>
          <w:szCs w:val="11"/>
          <w:color w:val="auto"/>
        </w:rPr>
        <w:t>ischarge</w:t>
      </w:r>
      <w:r>
        <w:rPr>
          <w:rFonts w:ascii="Arial" w:cs="Arial" w:eastAsia="Arial" w:hAnsi="Arial"/>
          <w:sz w:val="17"/>
          <w:szCs w:val="17"/>
          <w:color w:val="auto"/>
        </w:rPr>
        <w:t>; D</w:t>
      </w:r>
      <w:r>
        <w:rPr>
          <w:rFonts w:ascii="Arial" w:cs="Arial" w:eastAsia="Arial" w:hAnsi="Arial"/>
          <w:sz w:val="11"/>
          <w:szCs w:val="11"/>
          <w:color w:val="auto"/>
        </w:rPr>
        <w:t>efeasance</w:t>
      </w:r>
    </w:p>
    <w:p>
      <w:pPr>
        <w:spacing w:after="0" w:line="175"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Satisfaction and Discharge of Indenture</w:t>
      </w:r>
      <w:r>
        <w:rPr>
          <w:rFonts w:ascii="Arial" w:cs="Arial" w:eastAsia="Arial" w:hAnsi="Arial"/>
          <w:sz w:val="17"/>
          <w:szCs w:val="17"/>
          <w:color w:val="auto"/>
        </w:rPr>
        <w:t>. This Indenture, with respect to Securities of any Series (if all Series issued under this Indenture are not to be effected) shall, upon Company Order, cease to be of further effect (except as hereinafter provided in this ‎</w:t>
      </w:r>
      <w:r>
        <w:rPr>
          <w:rFonts w:ascii="Arial" w:cs="Arial" w:eastAsia="Arial" w:hAnsi="Arial"/>
          <w:sz w:val="17"/>
          <w:szCs w:val="17"/>
          <w:b w:val="1"/>
          <w:bCs w:val="1"/>
          <w:color w:val="auto"/>
        </w:rPr>
        <w:t>Section 8.01</w:t>
      </w:r>
      <w:r>
        <w:rPr>
          <w:rFonts w:ascii="Arial" w:cs="Arial" w:eastAsia="Arial" w:hAnsi="Arial"/>
          <w:sz w:val="17"/>
          <w:szCs w:val="17"/>
          <w:color w:val="auto"/>
        </w:rPr>
        <w:t>), and the Trustee, at the expense of the Company, shall execute such instruments reasonably requested by the Company acknowledging satisfaction and discharge of this Indenture, when</w:t>
      </w:r>
    </w:p>
    <w:p>
      <w:pPr>
        <w:spacing w:after="0" w:line="155" w:lineRule="exact"/>
        <w:rPr>
          <w:sz w:val="20"/>
          <w:szCs w:val="20"/>
          <w:color w:val="auto"/>
        </w:rPr>
      </w:pPr>
    </w:p>
    <w:p>
      <w:pPr>
        <w:ind w:left="620"/>
        <w:spacing w:after="0"/>
        <w:tabs>
          <w:tab w:leader="none" w:pos="9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6"/>
          <w:szCs w:val="16"/>
          <w:color w:val="auto"/>
        </w:rPr>
        <w:t>Either</w:t>
      </w:r>
    </w:p>
    <w:p>
      <w:pPr>
        <w:spacing w:after="0" w:line="191" w:lineRule="exact"/>
        <w:rPr>
          <w:sz w:val="20"/>
          <w:szCs w:val="20"/>
          <w:color w:val="auto"/>
        </w:rPr>
      </w:pPr>
    </w:p>
    <w:p>
      <w:pPr>
        <w:jc w:val="both"/>
        <w:ind w:left="620" w:right="120" w:firstLine="928"/>
        <w:spacing w:after="0" w:line="243" w:lineRule="auto"/>
        <w:tabs>
          <w:tab w:leader="none" w:pos="1842"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(other than (A) Securities that have been destroyed, lost or stolen and that have been replaced or paid or (B) Securities for whose payment money has theretofore been deposited in trust or segregated and held in trust by the Company and thereafter repaid to the Company or discharged from such trust, as provided in Sections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2‎.05 and 4‎.07) have been delivered to the Trustee for cancellation; or</w:t>
      </w:r>
    </w:p>
    <w:p>
      <w:pPr>
        <w:spacing w:after="0" w:line="174" w:lineRule="exact"/>
        <w:rPr>
          <w:rFonts w:ascii="Arial" w:cs="Arial" w:eastAsia="Arial" w:hAnsi="Arial"/>
          <w:sz w:val="17"/>
          <w:szCs w:val="17"/>
          <w:color w:val="auto"/>
        </w:rPr>
      </w:pPr>
    </w:p>
    <w:p>
      <w:pPr>
        <w:ind w:left="1880" w:hanging="332"/>
        <w:spacing w:after="0"/>
        <w:tabs>
          <w:tab w:leader="none" w:pos="1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such Securities of such Series not theretofore delivered to the Trustee for cancellation:</w:t>
      </w:r>
    </w:p>
    <w:p>
      <w:pPr>
        <w:spacing w:after="0" w:line="190" w:lineRule="exact"/>
        <w:rPr>
          <w:rFonts w:ascii="Arial" w:cs="Arial" w:eastAsia="Arial" w:hAnsi="Arial"/>
          <w:sz w:val="17"/>
          <w:szCs w:val="17"/>
          <w:color w:val="auto"/>
        </w:rPr>
      </w:pPr>
    </w:p>
    <w:p>
      <w:pPr>
        <w:ind w:left="2660" w:hanging="370"/>
        <w:spacing w:after="0"/>
        <w:tabs>
          <w:tab w:leader="none" w:pos="2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have become due and payable, or</w:t>
      </w:r>
    </w:p>
    <w:p>
      <w:pPr>
        <w:spacing w:after="0" w:line="190" w:lineRule="exact"/>
        <w:rPr>
          <w:rFonts w:ascii="Arial" w:cs="Arial" w:eastAsia="Arial" w:hAnsi="Arial"/>
          <w:sz w:val="17"/>
          <w:szCs w:val="17"/>
          <w:color w:val="auto"/>
        </w:rPr>
      </w:pPr>
    </w:p>
    <w:p>
      <w:pPr>
        <w:ind w:left="2660" w:hanging="370"/>
        <w:spacing w:after="0"/>
        <w:tabs>
          <w:tab w:leader="none" w:pos="2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will become due and payable at their Stated Maturity within one year, or</w:t>
      </w:r>
    </w:p>
    <w:p>
      <w:pPr>
        <w:spacing w:after="0" w:line="190" w:lineRule="exact"/>
        <w:rPr>
          <w:rFonts w:ascii="Arial" w:cs="Arial" w:eastAsia="Arial" w:hAnsi="Arial"/>
          <w:sz w:val="17"/>
          <w:szCs w:val="17"/>
          <w:color w:val="auto"/>
        </w:rPr>
      </w:pPr>
    </w:p>
    <w:p>
      <w:pPr>
        <w:ind w:left="1300" w:right="160" w:firstLine="990"/>
        <w:spacing w:after="0" w:line="273" w:lineRule="auto"/>
        <w:tabs>
          <w:tab w:leader="none" w:pos="267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are to be called for redemption within one year under arrangements satisfactory to the Trustee for the giving of notice of redemption by the Trustee in the name, and at the expense, of the Company, or</w:t>
      </w:r>
    </w:p>
    <w:p>
      <w:pPr>
        <w:spacing w:after="0" w:line="134" w:lineRule="exact"/>
        <w:rPr>
          <w:rFonts w:ascii="Arial" w:cs="Arial" w:eastAsia="Arial" w:hAnsi="Arial"/>
          <w:sz w:val="17"/>
          <w:szCs w:val="17"/>
          <w:color w:val="auto"/>
        </w:rPr>
      </w:pPr>
    </w:p>
    <w:p>
      <w:pPr>
        <w:ind w:left="2680" w:hanging="390"/>
        <w:spacing w:after="0"/>
        <w:tabs>
          <w:tab w:leader="none" w:pos="26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are deemed paid and discharged pursuant to Section‎ 8.03, as applicable;</w:t>
      </w:r>
    </w:p>
    <w:p>
      <w:pPr>
        <w:spacing w:after="0" w:line="19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and the Company, in the case of (A), (B) or (C) above, has deposited or caused to be deposited with the Trustee as trust funds in trust an amount sufficient for the purpose of paying and discharging the entire indebtedness on such Securities not theretofore delivered to the Trustee for cancellation, for principal of, premium, if any, and interest on, and any mandatory sinking fund payments to the date of such deposit (in the case of Securities of such Series which have become due and payable on or prior to the date of such deposit) or to the Stated Maturity or redemption date, as the case may be;</w:t>
      </w:r>
    </w:p>
    <w:p>
      <w:pPr>
        <w:spacing w:after="0" w:line="157" w:lineRule="exact"/>
        <w:rPr>
          <w:sz w:val="20"/>
          <w:szCs w:val="20"/>
          <w:color w:val="auto"/>
        </w:rPr>
      </w:pPr>
    </w:p>
    <w:p>
      <w:pPr>
        <w:ind w:left="1920" w:hanging="372"/>
        <w:spacing w:after="0"/>
        <w:tabs>
          <w:tab w:leader="none" w:pos="1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has paid or caused to be paid all other sums payable hereunder by the Company; and</w:t>
      </w:r>
    </w:p>
    <w:p>
      <w:pPr>
        <w:spacing w:after="0" w:line="190" w:lineRule="exact"/>
        <w:rPr>
          <w:rFonts w:ascii="Arial" w:cs="Arial" w:eastAsia="Arial" w:hAnsi="Arial"/>
          <w:sz w:val="17"/>
          <w:szCs w:val="17"/>
          <w:color w:val="auto"/>
        </w:rPr>
      </w:pPr>
    </w:p>
    <w:p>
      <w:pPr>
        <w:ind w:left="620" w:right="700" w:firstLine="928"/>
        <w:spacing w:after="0" w:line="273" w:lineRule="auto"/>
        <w:tabs>
          <w:tab w:leader="none" w:pos="19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35" w:lineRule="exact"/>
        <w:rPr>
          <w:sz w:val="20"/>
          <w:szCs w:val="20"/>
          <w:color w:val="auto"/>
        </w:rPr>
      </w:pPr>
    </w:p>
    <w:p>
      <w:pPr>
        <w:ind w:right="140" w:firstLine="618"/>
        <w:spacing w:after="0" w:line="255"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7.07, and, if money shall have been deposited with the Trustee pursuant to clause (a)‎ of this Section, the provisions of Sections 2‎.04, 2‎.07, 2‎.08, 4‎.07 (last paragraph only), 8‎.01, 8‎.02 and 8‎.05 shall survive.</w:t>
      </w:r>
    </w:p>
    <w:p>
      <w:pPr>
        <w:spacing w:after="0" w:line="150"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8.02.</w:t>
      </w:r>
      <w:r>
        <w:rPr>
          <w:sz w:val="20"/>
          <w:szCs w:val="20"/>
          <w:color w:val="auto"/>
        </w:rPr>
        <w:tab/>
      </w:r>
      <w:r>
        <w:rPr>
          <w:rFonts w:ascii="Arial" w:cs="Arial" w:eastAsia="Arial" w:hAnsi="Arial"/>
          <w:sz w:val="17"/>
          <w:szCs w:val="17"/>
          <w:i w:val="1"/>
          <w:iCs w:val="1"/>
          <w:color w:val="auto"/>
        </w:rPr>
        <w:t>Application of Trust Funds; Indemnification</w:t>
      </w:r>
      <w:r>
        <w:rPr>
          <w:rFonts w:ascii="Arial" w:cs="Arial" w:eastAsia="Arial" w:hAnsi="Arial"/>
          <w:sz w:val="17"/>
          <w:szCs w:val="17"/>
          <w:color w:val="auto"/>
        </w:rPr>
        <w:t>. (a)Subject to the provisions of Section‎ 8.05, all money deposited with the</w:t>
      </w:r>
    </w:p>
    <w:p>
      <w:pPr>
        <w:spacing w:after="0" w:line="14" w:lineRule="exact"/>
        <w:rPr>
          <w:sz w:val="20"/>
          <w:szCs w:val="20"/>
          <w:color w:val="auto"/>
        </w:rPr>
      </w:pPr>
    </w:p>
    <w:p>
      <w:pPr>
        <w:ind w:right="480"/>
        <w:spacing w:after="0" w:line="254" w:lineRule="auto"/>
        <w:rPr>
          <w:sz w:val="20"/>
          <w:szCs w:val="20"/>
          <w:color w:val="auto"/>
        </w:rPr>
      </w:pPr>
      <w:r>
        <w:rPr>
          <w:rFonts w:ascii="Arial" w:cs="Arial" w:eastAsia="Arial" w:hAnsi="Arial"/>
          <w:sz w:val="17"/>
          <w:szCs w:val="17"/>
          <w:color w:val="auto"/>
        </w:rPr>
        <w:t>Trustee pursuant to Section‎ 8.01, all money and U.S. Government Obligations or Foreign Government Obligations deposited with the Trustee pursuant to ‎Section 8.03 or ‎8.04, and all money received by the Trustee in respect of U.S. Government Obligations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86" w:name="page87"/>
    <w:bookmarkEnd w:id="86"/>
    <w:p>
      <w:pPr>
        <w:ind w:right="140"/>
        <w:spacing w:after="0" w:line="246" w:lineRule="auto"/>
        <w:rPr>
          <w:sz w:val="20"/>
          <w:szCs w:val="20"/>
          <w:color w:val="auto"/>
        </w:rPr>
      </w:pPr>
      <w:r>
        <w:rPr>
          <w:rFonts w:ascii="Arial" w:cs="Arial" w:eastAsia="Arial" w:hAnsi="Arial"/>
          <w:sz w:val="17"/>
          <w:szCs w:val="17"/>
          <w:color w:val="auto"/>
        </w:rPr>
        <w:t>or Foreign Government Obligations deposited with the Trustee pursuant to Section‎ 8.03 or 8‎.04, shall be held in trust and applied by it, in accordance with the provisions of the Securities and this Indenture, to the payment, either directly or through any Paying Agent (including the Company if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 8‎.03 or 8‎.04.</w:t>
      </w:r>
    </w:p>
    <w:p>
      <w:pPr>
        <w:spacing w:after="0" w:line="157" w:lineRule="exact"/>
        <w:rPr>
          <w:sz w:val="20"/>
          <w:szCs w:val="20"/>
          <w:color w:val="auto"/>
        </w:rPr>
      </w:pPr>
    </w:p>
    <w:p>
      <w:pPr>
        <w:ind w:right="340" w:firstLine="621"/>
        <w:spacing w:after="0" w:line="255" w:lineRule="auto"/>
        <w:tabs>
          <w:tab w:leader="none" w:pos="96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shall pay and shall indemnify the Trustee against any tax, fee or other charge imposed on or assessed against U.S. Government Obligations or Foreign Government Obligations deposited pursuant to Section 8‎.03 or 8‎.04, or the interest and principal received in respect of such obligations other than any payable by or on behalf of Holders.</w:t>
      </w:r>
    </w:p>
    <w:p>
      <w:pPr>
        <w:spacing w:after="0" w:line="149" w:lineRule="exact"/>
        <w:rPr>
          <w:rFonts w:ascii="Arial" w:cs="Arial" w:eastAsia="Arial" w:hAnsi="Arial"/>
          <w:sz w:val="17"/>
          <w:szCs w:val="17"/>
          <w:color w:val="auto"/>
        </w:rPr>
      </w:pPr>
    </w:p>
    <w:p>
      <w:pPr>
        <w:ind w:right="120" w:firstLine="621"/>
        <w:spacing w:after="0" w:line="244" w:lineRule="auto"/>
        <w:tabs>
          <w:tab w:leader="none" w:pos="95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Request any U.S. Government Obligations or Foreign Government Obligations or money held by it as provided in Section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60" w:lineRule="exact"/>
        <w:rPr>
          <w:sz w:val="20"/>
          <w:szCs w:val="20"/>
          <w:color w:val="auto"/>
        </w:rPr>
      </w:pPr>
    </w:p>
    <w:p>
      <w:pPr>
        <w:ind w:right="40" w:firstLine="618"/>
        <w:spacing w:after="0" w:line="246"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Legal Defeasance of Securities of any Series</w:t>
      </w:r>
      <w:r>
        <w:rPr>
          <w:rFonts w:ascii="Arial" w:cs="Arial" w:eastAsia="Arial" w:hAnsi="Arial"/>
          <w:sz w:val="17"/>
          <w:szCs w:val="17"/>
          <w:color w:val="auto"/>
        </w:rPr>
        <w:t>. Unless this Section‎ 8.03 is otherwise specified, pursuant to Section‎ 2.02(x), to be inapplicable to Securities of any Series, the Company shall be deemed to have paid and discharged the entire indebtedness on all the outstanding Securities of such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such instruments reasonably requested by the Company acknowledging the same), except as to:</w:t>
      </w:r>
    </w:p>
    <w:p>
      <w:pPr>
        <w:spacing w:after="0" w:line="157" w:lineRule="exact"/>
        <w:rPr>
          <w:sz w:val="20"/>
          <w:szCs w:val="20"/>
          <w:color w:val="auto"/>
        </w:rPr>
      </w:pPr>
    </w:p>
    <w:p>
      <w:pPr>
        <w:ind w:right="80" w:firstLine="621"/>
        <w:spacing w:after="0" w:line="249" w:lineRule="auto"/>
        <w:tabs>
          <w:tab w:leader="none" w:pos="97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4" w:lineRule="exact"/>
        <w:rPr>
          <w:rFonts w:ascii="Arial" w:cs="Arial" w:eastAsia="Arial" w:hAnsi="Arial"/>
          <w:sz w:val="17"/>
          <w:szCs w:val="17"/>
          <w:color w:val="auto"/>
        </w:rPr>
      </w:pPr>
    </w:p>
    <w:p>
      <w:pPr>
        <w:ind w:left="980" w:hanging="359"/>
        <w:spacing w:after="0"/>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provisions of Sections 2‎.04, 2‎.07, 2‎.08, 8‎.02, 8‎.03 and 8‎.05; and</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rights, powers, trust and immunities of the Trustee hereunder;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provided that, the following conditions shall have been satisfied:</w:t>
      </w:r>
    </w:p>
    <w:p>
      <w:pPr>
        <w:spacing w:after="0" w:line="191" w:lineRule="exact"/>
        <w:rPr>
          <w:sz w:val="20"/>
          <w:szCs w:val="20"/>
          <w:color w:val="auto"/>
        </w:rPr>
      </w:pPr>
    </w:p>
    <w:p>
      <w:pPr>
        <w:ind w:firstLine="621"/>
        <w:spacing w:after="0" w:line="241" w:lineRule="auto"/>
        <w:tabs>
          <w:tab w:leader="none" w:pos="97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shall have deposited or caused to be deposited irrevocably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(including mandatory sinking fund or analogous payments) of and interest, if any, on all the Securities of such Series on the dates such installments of interest or principal are due;</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7" w:name="page88"/>
    <w:bookmarkEnd w:id="87"/>
    <w:p>
      <w:pPr>
        <w:ind w:right="60" w:firstLine="621"/>
        <w:spacing w:after="0" w:line="273" w:lineRule="auto"/>
        <w:tabs>
          <w:tab w:leader="none" w:pos="971"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such deposit will not result in a breach or violation of, or constitute a default under, this Indenture or any other agreement or instrument to which the Company is a party or by which it is bound;</w:t>
      </w:r>
    </w:p>
    <w:p>
      <w:pPr>
        <w:spacing w:after="0" w:line="134" w:lineRule="exact"/>
        <w:rPr>
          <w:rFonts w:ascii="Arial" w:cs="Arial" w:eastAsia="Arial" w:hAnsi="Arial"/>
          <w:sz w:val="17"/>
          <w:szCs w:val="17"/>
          <w:color w:val="auto"/>
        </w:rPr>
      </w:pPr>
    </w:p>
    <w:p>
      <w:pPr>
        <w:ind w:right="240" w:firstLine="621"/>
        <w:spacing w:after="0" w:line="273" w:lineRule="auto"/>
        <w:tabs>
          <w:tab w:leader="none" w:pos="923"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 deposit or during the period ending on the 91st day after such date;</w:t>
      </w:r>
    </w:p>
    <w:p>
      <w:pPr>
        <w:spacing w:after="0" w:line="134" w:lineRule="exact"/>
        <w:rPr>
          <w:rFonts w:ascii="Arial" w:cs="Arial" w:eastAsia="Arial" w:hAnsi="Arial"/>
          <w:sz w:val="17"/>
          <w:szCs w:val="17"/>
          <w:color w:val="auto"/>
        </w:rPr>
      </w:pPr>
    </w:p>
    <w:p>
      <w:pPr>
        <w:ind w:right="40" w:firstLine="621"/>
        <w:spacing w:after="0" w:line="244" w:lineRule="auto"/>
        <w:tabs>
          <w:tab w:leader="none" w:pos="97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from a nationally recognized law firm to the effect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of Counsel shall confirm that, the Holders of the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w:t>
      </w:r>
    </w:p>
    <w:p>
      <w:pPr>
        <w:spacing w:after="0" w:line="159" w:lineRule="exact"/>
        <w:rPr>
          <w:rFonts w:ascii="Arial" w:cs="Arial" w:eastAsia="Arial" w:hAnsi="Arial"/>
          <w:sz w:val="17"/>
          <w:szCs w:val="17"/>
          <w:color w:val="auto"/>
        </w:rPr>
      </w:pPr>
    </w:p>
    <w:p>
      <w:pPr>
        <w:ind w:right="20" w:firstLine="621"/>
        <w:spacing w:after="0" w:line="255" w:lineRule="auto"/>
        <w:tabs>
          <w:tab w:leader="none" w:pos="97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149" w:lineRule="exact"/>
        <w:rPr>
          <w:rFonts w:ascii="Arial" w:cs="Arial" w:eastAsia="Arial" w:hAnsi="Arial"/>
          <w:sz w:val="17"/>
          <w:szCs w:val="17"/>
          <w:color w:val="auto"/>
        </w:rPr>
      </w:pPr>
    </w:p>
    <w:p>
      <w:pPr>
        <w:ind w:right="380" w:firstLine="621"/>
        <w:spacing w:after="0" w:line="273" w:lineRule="auto"/>
        <w:tabs>
          <w:tab w:leader="none" w:pos="914"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such deposit shall not result in the trust arising from such deposit constituting an investment company (as defined in the Investment Company Act of 1940, as amended), or such trust shall be qualified under such Act or exempt from regulation thereunder; and</w:t>
      </w:r>
    </w:p>
    <w:p>
      <w:pPr>
        <w:spacing w:after="0" w:line="134" w:lineRule="exact"/>
        <w:rPr>
          <w:rFonts w:ascii="Arial" w:cs="Arial" w:eastAsia="Arial" w:hAnsi="Arial"/>
          <w:sz w:val="17"/>
          <w:szCs w:val="17"/>
          <w:color w:val="auto"/>
        </w:rPr>
      </w:pPr>
    </w:p>
    <w:p>
      <w:pPr>
        <w:ind w:left="920" w:hanging="299"/>
        <w:spacing w:after="0"/>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precedent provided for relating to the defeasance contemplated by this Section‎ 8.03 have been complied with.</w:t>
      </w:r>
    </w:p>
    <w:p>
      <w:pPr>
        <w:spacing w:after="0" w:line="175" w:lineRule="exact"/>
        <w:rPr>
          <w:sz w:val="20"/>
          <w:szCs w:val="20"/>
          <w:color w:val="auto"/>
        </w:rPr>
      </w:pPr>
    </w:p>
    <w:p>
      <w:pPr>
        <w:ind w:firstLine="618"/>
        <w:spacing w:after="0" w:line="24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Covenant Defeasance</w:t>
      </w:r>
      <w:r>
        <w:rPr>
          <w:rFonts w:ascii="Arial" w:cs="Arial" w:eastAsia="Arial" w:hAnsi="Arial"/>
          <w:sz w:val="17"/>
          <w:szCs w:val="17"/>
          <w:color w:val="auto"/>
        </w:rPr>
        <w:t>. Unless this ‎Section 8.04 is otherwise specified pursuant to ‎Section 2.02(x) to be inapplicable to Securities of any Series, on and after the date of the deposit referred to in subparagraph ‎(a) hereof, the Company may omit to comply with any term, provision or condition set forth under Sections ‎4.02, ‎4.04, ‎4.05 and ‎5.01 as well as any additional covenants contained in a supplemental indenture hereto for a particular Series of Securities or a Board Resolution or an Officers’ Certificate delivered pursuant to ‎Section 2.02(x) (and the failure to</w:t>
      </w:r>
    </w:p>
    <w:p>
      <w:pPr>
        <w:jc w:val="both"/>
        <w:spacing w:after="0" w:line="245" w:lineRule="auto"/>
        <w:rPr>
          <w:sz w:val="20"/>
          <w:szCs w:val="20"/>
          <w:color w:val="auto"/>
        </w:rPr>
      </w:pPr>
      <w:r>
        <w:rPr>
          <w:rFonts w:ascii="Arial" w:cs="Arial" w:eastAsia="Arial" w:hAnsi="Arial"/>
          <w:sz w:val="17"/>
          <w:szCs w:val="17"/>
          <w:color w:val="auto"/>
        </w:rPr>
        <w:t>comply with any such covenants shall not constitute a Default or Event of Default under Section‎ 6.01) and the occurrence of any event described in clause ‎(e) of ‎Section 6.01 shall not constitute a Default or Event of Default hereunder, with respect to the Securities of such Series, provided that the following conditions shall have been satisfied:</w:t>
      </w:r>
    </w:p>
    <w:p>
      <w:pPr>
        <w:spacing w:after="0" w:line="158" w:lineRule="exact"/>
        <w:rPr>
          <w:sz w:val="20"/>
          <w:szCs w:val="20"/>
          <w:color w:val="auto"/>
        </w:rPr>
      </w:pPr>
    </w:p>
    <w:p>
      <w:pPr>
        <w:ind w:right="100" w:firstLine="621"/>
        <w:spacing w:after="0" w:line="241" w:lineRule="auto"/>
        <w:tabs>
          <w:tab w:leader="none" w:pos="9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 reference to this Section‎ 8.04, the Company has deposited or caused to be irrevocably deposited (except as provided in Section‎ 8.02(c)) with the Trustee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principal and interest, if any, on and any mandatory sinking fund in respect of the Securities of such Series on the dates such installments of interest or principal are due;</w:t>
      </w:r>
    </w:p>
    <w:p>
      <w:pPr>
        <w:spacing w:after="0" w:line="161" w:lineRule="exact"/>
        <w:rPr>
          <w:rFonts w:ascii="Arial" w:cs="Arial" w:eastAsia="Arial" w:hAnsi="Arial"/>
          <w:sz w:val="17"/>
          <w:szCs w:val="17"/>
          <w:color w:val="auto"/>
        </w:rPr>
      </w:pPr>
    </w:p>
    <w:p>
      <w:pPr>
        <w:ind w:right="60" w:firstLine="621"/>
        <w:spacing w:after="0" w:line="273" w:lineRule="auto"/>
        <w:tabs>
          <w:tab w:leader="none" w:pos="9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such deposit will not result in a breach or violation of, or constitute a default under, this Indenture or any other agreement or instrument to which the Company is a party or by which it is bound;</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8" w:name="page89"/>
    <w:bookmarkEnd w:id="88"/>
    <w:p>
      <w:pPr>
        <w:ind w:left="620"/>
        <w:spacing w:after="0"/>
        <w:tabs>
          <w:tab w:leader="none" w:pos="940" w:val="left"/>
        </w:tabs>
        <w:rPr>
          <w:sz w:val="20"/>
          <w:szCs w:val="20"/>
          <w:color w:val="auto"/>
        </w:rPr>
      </w:pPr>
      <w:r>
        <w:rPr>
          <w:rFonts w:ascii="Arial" w:cs="Arial" w:eastAsia="Arial" w:hAnsi="Arial"/>
          <w:sz w:val="17"/>
          <w:szCs w:val="17"/>
          <w:color w:val="auto"/>
        </w:rPr>
        <w:t>(c)</w:t>
        <w:tab/>
        <w:t>no Default or Event of Default with respect to the Securities of such Series shall have occurred and be continuing on the date of such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deposit;</w:t>
      </w:r>
    </w:p>
    <w:p>
      <w:pPr>
        <w:spacing w:after="0" w:line="175" w:lineRule="exact"/>
        <w:rPr>
          <w:sz w:val="20"/>
          <w:szCs w:val="20"/>
          <w:color w:val="auto"/>
        </w:rPr>
      </w:pPr>
    </w:p>
    <w:p>
      <w:pPr>
        <w:ind w:firstLine="621"/>
        <w:spacing w:after="0" w:line="249" w:lineRule="auto"/>
        <w:tabs>
          <w:tab w:leader="none" w:pos="97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Opinion of Counsel from a nationally recognized law firm confirming that Holders of the Securities of such Series will not recognize income, gain or loss for U.S. Federal income tax purposes as a result of such deposit and defeasance and will be subject to U.S. Federal income tax on the same amounts, in the same manner and at the same times as would have been the case if such deposit and defeasance had not occurred;</w:t>
      </w:r>
    </w:p>
    <w:p>
      <w:pPr>
        <w:spacing w:after="0" w:line="154" w:lineRule="exact"/>
        <w:rPr>
          <w:rFonts w:ascii="Arial" w:cs="Arial" w:eastAsia="Arial" w:hAnsi="Arial"/>
          <w:sz w:val="17"/>
          <w:szCs w:val="17"/>
          <w:color w:val="auto"/>
        </w:rPr>
      </w:pPr>
    </w:p>
    <w:p>
      <w:pPr>
        <w:jc w:val="both"/>
        <w:ind w:right="300" w:firstLine="621"/>
        <w:spacing w:after="0" w:line="255" w:lineRule="auto"/>
        <w:tabs>
          <w:tab w:leader="none" w:pos="97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49" w:lineRule="exact"/>
        <w:rPr>
          <w:rFonts w:ascii="Arial" w:cs="Arial" w:eastAsia="Arial" w:hAnsi="Arial"/>
          <w:sz w:val="17"/>
          <w:szCs w:val="17"/>
          <w:color w:val="auto"/>
        </w:rPr>
      </w:pPr>
    </w:p>
    <w:p>
      <w:pPr>
        <w:ind w:left="920" w:hanging="299"/>
        <w:spacing w:after="0"/>
        <w:tabs>
          <w:tab w:leader="none" w:pos="9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precedent herein provided for relating to the defeasance contemplated by this Section‎ 8.04 have been complied with.</w:t>
      </w:r>
    </w:p>
    <w:p>
      <w:pPr>
        <w:spacing w:after="0" w:line="175"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Repayment to Compan</w:t>
      </w:r>
      <w:r>
        <w:rPr>
          <w:rFonts w:ascii="Arial" w:cs="Arial" w:eastAsia="Arial" w:hAnsi="Arial"/>
          <w:sz w:val="17"/>
          <w:szCs w:val="17"/>
          <w:color w:val="auto"/>
        </w:rPr>
        <w:t>y. The Trustee and the Paying Agent shall promptly pay to the Company (or its designee) upon Company Order any excess moneys or U.S. Government Obligations held by them at any time. The provisions of the last paragraph of ‎Section 4.07 shall apply to any money held by the Trustee or any Paying Agent that remains unclaimed for two years after the Maturity of any Series or Securities for which money or U.S. Government Obligations have been deposited pursuant to Sections ‎8.03 and ‎8.04.</w:t>
      </w:r>
    </w:p>
    <w:p>
      <w:pPr>
        <w:spacing w:after="0" w:line="155"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8.06.</w:t>
      </w:r>
      <w:r>
        <w:rPr>
          <w:sz w:val="20"/>
          <w:szCs w:val="20"/>
          <w:color w:val="auto"/>
        </w:rPr>
        <w:tab/>
      </w:r>
      <w:r>
        <w:rPr>
          <w:rFonts w:ascii="Arial" w:cs="Arial" w:eastAsia="Arial" w:hAnsi="Arial"/>
          <w:sz w:val="17"/>
          <w:szCs w:val="17"/>
          <w:i w:val="1"/>
          <w:iCs w:val="1"/>
          <w:color w:val="auto"/>
        </w:rPr>
        <w:t>Effect of Subordination Provisions</w:t>
      </w:r>
      <w:r>
        <w:rPr>
          <w:rFonts w:ascii="Arial" w:cs="Arial" w:eastAsia="Arial" w:hAnsi="Arial"/>
          <w:sz w:val="17"/>
          <w:szCs w:val="17"/>
          <w:color w:val="auto"/>
        </w:rPr>
        <w:t>. Unless otherwise expressly established pursuant to Section‎ 2.02 with respect to the</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Subordinated Securities of any Series, the provisions of Article‎ 10 hereof, insofar as they pertain to the Subordinated Securities of such series, and the Subordination Provisions established pursuant to ‎Section 2.02(i) with respect to such Series, are hereby expressly made subject to the</w:t>
      </w:r>
    </w:p>
    <w:p>
      <w:pPr>
        <w:ind w:right="80"/>
        <w:spacing w:after="0" w:line="237" w:lineRule="auto"/>
        <w:rPr>
          <w:sz w:val="20"/>
          <w:szCs w:val="20"/>
          <w:color w:val="auto"/>
        </w:rPr>
      </w:pPr>
      <w:r>
        <w:rPr>
          <w:rFonts w:ascii="Arial" w:cs="Arial" w:eastAsia="Arial" w:hAnsi="Arial"/>
          <w:sz w:val="17"/>
          <w:szCs w:val="17"/>
          <w:color w:val="auto"/>
        </w:rPr>
        <w:t>provisions for satisfaction and discharge and defeasance and covenant defeasance set forth in this Article‎ 8 and, anything herein to the contrary notwithstanding, upon the effectiveness of such satisfaction and discharge and defeasance and covenant defeasance pursuant to this ‎Article 8 with respect to the Securities of such Series, such Securities shall thereupon cease to be so subordinated and shall no longer be subject to the</w:t>
      </w:r>
    </w:p>
    <w:p>
      <w:pPr>
        <w:ind w:right="100"/>
        <w:spacing w:after="0" w:line="241" w:lineRule="auto"/>
        <w:rPr>
          <w:sz w:val="20"/>
          <w:szCs w:val="20"/>
          <w:color w:val="auto"/>
        </w:rPr>
      </w:pPr>
      <w:r>
        <w:rPr>
          <w:rFonts w:ascii="Arial" w:cs="Arial" w:eastAsia="Arial" w:hAnsi="Arial"/>
          <w:sz w:val="17"/>
          <w:szCs w:val="17"/>
          <w:color w:val="auto"/>
        </w:rPr>
        <w:t>provisions of Article‎ 10 or the Subordination Provisions established pursuant to Section‎ 2.02(i) with respect to such series and, without limitation to the foregoing, all moneys, U.S. Government Obligations and other securities or property deposited with the Trustee (or other qualifying trustee) in trust in connection with such satisfaction and discharge, defeasance or covenant defeasance, as the case may be, and all proceeds therefrom may be applied to pay the principal of, premium, if any, on, and mandatory sinking fund payments, if any with respect to the Securities of such Series as and when the same shall become due and payable notwithstanding the provisions of ‎Article 10 or such Subordination Provisions.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mendments and</w:t>
      </w:r>
      <w:r>
        <w:rPr>
          <w:rFonts w:ascii="Arial" w:cs="Arial" w:eastAsia="Arial" w:hAnsi="Arial"/>
          <w:sz w:val="17"/>
          <w:szCs w:val="17"/>
          <w:color w:val="auto"/>
        </w:rPr>
        <w:t xml:space="preserve"> W</w:t>
      </w:r>
      <w:r>
        <w:rPr>
          <w:rFonts w:ascii="Arial" w:cs="Arial" w:eastAsia="Arial" w:hAnsi="Arial"/>
          <w:sz w:val="11"/>
          <w:szCs w:val="11"/>
          <w:color w:val="auto"/>
        </w:rPr>
        <w:t>aivers</w:t>
      </w:r>
    </w:p>
    <w:p>
      <w:pPr>
        <w:spacing w:after="0" w:line="175" w:lineRule="exact"/>
        <w:rPr>
          <w:sz w:val="20"/>
          <w:szCs w:val="20"/>
          <w:color w:val="auto"/>
        </w:rPr>
      </w:pPr>
    </w:p>
    <w:p>
      <w:pPr>
        <w:ind w:right="320" w:firstLine="618"/>
        <w:spacing w:after="0" w:line="273"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i w:val="1"/>
          <w:iCs w:val="1"/>
          <w:color w:val="auto"/>
        </w:rPr>
        <w:t>Without Consent of Holders</w:t>
      </w:r>
      <w:r>
        <w:rPr>
          <w:rFonts w:ascii="Arial" w:cs="Arial" w:eastAsia="Arial" w:hAnsi="Arial"/>
          <w:sz w:val="17"/>
          <w:szCs w:val="17"/>
          <w:color w:val="auto"/>
        </w:rPr>
        <w:t>. The Company and the Trustee may amend or supplement this Indenture or the Securities of one or more Series without the consent of any Securityholder:</w:t>
      </w:r>
    </w:p>
    <w:p>
      <w:pPr>
        <w:spacing w:after="0" w:line="135" w:lineRule="exact"/>
        <w:rPr>
          <w:sz w:val="20"/>
          <w:szCs w:val="20"/>
          <w:color w:val="auto"/>
        </w:rPr>
      </w:pPr>
    </w:p>
    <w:p>
      <w:pPr>
        <w:ind w:left="620"/>
        <w:spacing w:after="0"/>
        <w:tabs>
          <w:tab w:leader="none" w:pos="960" w:val="left"/>
        </w:tabs>
        <w:rPr>
          <w:sz w:val="20"/>
          <w:szCs w:val="20"/>
          <w:color w:val="auto"/>
        </w:rPr>
      </w:pPr>
      <w:r>
        <w:rPr>
          <w:rFonts w:ascii="Arial" w:cs="Arial" w:eastAsia="Arial" w:hAnsi="Arial"/>
          <w:sz w:val="17"/>
          <w:szCs w:val="17"/>
          <w:color w:val="auto"/>
        </w:rPr>
        <w:t>(a)</w:t>
        <w:tab/>
        <w:t>to convey, transfer, assign, mortgage or pledge to the Trustee as security for the Securities of one or more Series any property 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pacing w:after="0" w:line="175" w:lineRule="exact"/>
        <w:rPr>
          <w:sz w:val="20"/>
          <w:szCs w:val="20"/>
          <w:color w:val="auto"/>
        </w:rPr>
      </w:pPr>
    </w:p>
    <w:p>
      <w:pPr>
        <w:ind w:left="980" w:hanging="359"/>
        <w:spacing w:after="0"/>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comply with Article‎ 5;</w:t>
      </w:r>
    </w:p>
    <w:p>
      <w:pPr>
        <w:spacing w:after="0" w:line="190" w:lineRule="exact"/>
        <w:rPr>
          <w:rFonts w:ascii="Arial" w:cs="Arial" w:eastAsia="Arial" w:hAnsi="Arial"/>
          <w:sz w:val="17"/>
          <w:szCs w:val="17"/>
          <w:color w:val="auto"/>
        </w:rPr>
      </w:pPr>
    </w:p>
    <w:p>
      <w:pPr>
        <w:ind w:right="100" w:firstLine="621"/>
        <w:spacing w:after="0" w:line="255" w:lineRule="auto"/>
        <w:tabs>
          <w:tab w:leader="none" w:pos="96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add to the covenants of the Company such further covenants, restrictions, conditions or provisions as the Company and the Trustee shall consider to be for the protection of the Holders of Securities, and to make the occurrence, or the occurrence and continuance, of a default in any such</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9" w:name="page90"/>
    <w:bookmarkEnd w:id="89"/>
    <w:p>
      <w:pPr>
        <w:ind w:right="360"/>
        <w:spacing w:after="0" w:line="244" w:lineRule="auto"/>
        <w:rPr>
          <w:sz w:val="20"/>
          <w:szCs w:val="20"/>
          <w:color w:val="auto"/>
        </w:rPr>
      </w:pPr>
      <w:r>
        <w:rPr>
          <w:rFonts w:ascii="Arial" w:cs="Arial" w:eastAsia="Arial" w:hAnsi="Arial"/>
          <w:sz w:val="17"/>
          <w:szCs w:val="17"/>
          <w:color w:val="auto"/>
        </w:rPr>
        <w:t>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60" w:lineRule="exact"/>
        <w:rPr>
          <w:sz w:val="20"/>
          <w:szCs w:val="20"/>
          <w:color w:val="auto"/>
        </w:rPr>
      </w:pPr>
    </w:p>
    <w:p>
      <w:pPr>
        <w:ind w:left="980" w:hanging="359"/>
        <w:spacing w:after="0"/>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add a guarantor or permit any Person to guarantee the obligations under any Series of Securities;</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cure any ambiguity, defect or inconsistency;</w:t>
      </w:r>
    </w:p>
    <w:p>
      <w:pPr>
        <w:spacing w:after="0" w:line="190" w:lineRule="exact"/>
        <w:rPr>
          <w:rFonts w:ascii="Arial" w:cs="Arial" w:eastAsia="Arial" w:hAnsi="Arial"/>
          <w:sz w:val="17"/>
          <w:szCs w:val="17"/>
          <w:color w:val="auto"/>
        </w:rPr>
      </w:pPr>
    </w:p>
    <w:p>
      <w:pPr>
        <w:ind w:left="920" w:hanging="299"/>
        <w:spacing w:after="0"/>
        <w:tabs>
          <w:tab w:leader="none" w:pos="9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 Indenture;</w:t>
      </w:r>
    </w:p>
    <w:p>
      <w:pPr>
        <w:spacing w:after="0" w:line="190" w:lineRule="exact"/>
        <w:rPr>
          <w:rFonts w:ascii="Arial" w:cs="Arial" w:eastAsia="Arial" w:hAnsi="Arial"/>
          <w:sz w:val="17"/>
          <w:szCs w:val="17"/>
          <w:color w:val="auto"/>
        </w:rPr>
      </w:pPr>
    </w:p>
    <w:p>
      <w:pPr>
        <w:ind w:right="20" w:firstLine="621"/>
        <w:spacing w:after="0" w:line="255" w:lineRule="auto"/>
        <w:tabs>
          <w:tab w:leader="none" w:pos="97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conform to any provision of the “Description of the Notes” section, “Description of Debt Securities” section or other relevant section describing the terms of the Securities of the applicable prospectus, prospectus supplement, offering circular, offering memorandum or other relevant offering document;</w:t>
      </w:r>
    </w:p>
    <w:p>
      <w:pPr>
        <w:spacing w:after="0" w:line="149" w:lineRule="exact"/>
        <w:rPr>
          <w:rFonts w:ascii="Arial" w:cs="Arial" w:eastAsia="Arial" w:hAnsi="Arial"/>
          <w:sz w:val="17"/>
          <w:szCs w:val="17"/>
          <w:color w:val="auto"/>
        </w:rPr>
      </w:pPr>
    </w:p>
    <w:p>
      <w:pPr>
        <w:ind w:right="20" w:firstLine="621"/>
        <w:spacing w:after="0" w:line="255" w:lineRule="auto"/>
        <w:tabs>
          <w:tab w:leader="none" w:pos="97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49" w:lineRule="exact"/>
        <w:rPr>
          <w:rFonts w:ascii="Arial" w:cs="Arial" w:eastAsia="Arial" w:hAnsi="Arial"/>
          <w:sz w:val="17"/>
          <w:szCs w:val="17"/>
          <w:color w:val="auto"/>
        </w:rPr>
      </w:pPr>
    </w:p>
    <w:p>
      <w:pPr>
        <w:ind w:left="920" w:hanging="299"/>
        <w:spacing w:after="0"/>
        <w:tabs>
          <w:tab w:leader="none" w:pos="9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provide for uncertificated Securities in addition to or in place of certificated Securities;</w:t>
      </w:r>
    </w:p>
    <w:p>
      <w:pPr>
        <w:spacing w:after="0" w:line="190" w:lineRule="exact"/>
        <w:rPr>
          <w:rFonts w:ascii="Arial" w:cs="Arial" w:eastAsia="Arial" w:hAnsi="Arial"/>
          <w:sz w:val="17"/>
          <w:szCs w:val="17"/>
          <w:color w:val="auto"/>
        </w:rPr>
      </w:pPr>
    </w:p>
    <w:p>
      <w:pPr>
        <w:ind w:left="920" w:hanging="299"/>
        <w:spacing w:after="0"/>
        <w:tabs>
          <w:tab w:leader="none" w:pos="9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make any change that does not materially adversely affect the rights of any Securityholder; and</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this Indenture under the TIA.</w:t>
      </w:r>
    </w:p>
    <w:p>
      <w:pPr>
        <w:spacing w:after="0" w:line="191" w:lineRule="exact"/>
        <w:rPr>
          <w:sz w:val="20"/>
          <w:szCs w:val="20"/>
          <w:color w:val="auto"/>
        </w:rPr>
      </w:pPr>
    </w:p>
    <w:p>
      <w:pPr>
        <w:ind w:firstLine="618"/>
        <w:spacing w:after="0" w:line="242"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With Consent of Holders</w:t>
      </w:r>
      <w:r>
        <w:rPr>
          <w:rFonts w:ascii="Arial" w:cs="Arial" w:eastAsia="Arial" w:hAnsi="Arial"/>
          <w:sz w:val="17"/>
          <w:szCs w:val="17"/>
          <w:color w:val="auto"/>
        </w:rPr>
        <w:t>.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each Series affected by such waiver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2" w:lineRule="exact"/>
        <w:rPr>
          <w:sz w:val="20"/>
          <w:szCs w:val="20"/>
          <w:color w:val="auto"/>
        </w:rPr>
      </w:pPr>
    </w:p>
    <w:p>
      <w:pPr>
        <w:ind w:right="20" w:firstLine="618"/>
        <w:spacing w:after="0" w:line="244" w:lineRule="auto"/>
        <w:rPr>
          <w:sz w:val="20"/>
          <w:szCs w:val="20"/>
          <w:color w:val="auto"/>
        </w:rPr>
      </w:pPr>
      <w:r>
        <w:rPr>
          <w:rFonts w:ascii="Arial" w:cs="Arial" w:eastAsia="Arial" w:hAnsi="Arial"/>
          <w:sz w:val="17"/>
          <w:szCs w:val="17"/>
          <w:color w:val="auto"/>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and, if any Bearer Securities affected thereby are outstanding, publish on one occasion in an Authorized Newspaper, a notice briefly describing the supplemental indenture or waiver. Any failure by the Company to send or publish such notice, or any defect therein, shall not, however, in any way impair or affect the validity of any such supplemental indenture or waiver.</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90" w:name="page91"/>
    <w:bookmarkEnd w:id="90"/>
    <w:p>
      <w:pPr>
        <w:ind w:left="620"/>
        <w:spacing w:after="0"/>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Limitations</w:t>
      </w:r>
      <w:r>
        <w:rPr>
          <w:rFonts w:ascii="Arial" w:cs="Arial" w:eastAsia="Arial" w:hAnsi="Arial"/>
          <w:sz w:val="17"/>
          <w:szCs w:val="17"/>
          <w:color w:val="auto"/>
        </w:rPr>
        <w:t>. Without the consent of each Securityholder affected, an amendment or waiver may not:</w:t>
      </w:r>
    </w:p>
    <w:p>
      <w:pPr>
        <w:spacing w:after="0" w:line="191" w:lineRule="exact"/>
        <w:rPr>
          <w:sz w:val="20"/>
          <w:szCs w:val="20"/>
          <w:color w:val="auto"/>
        </w:rPr>
      </w:pPr>
    </w:p>
    <w:p>
      <w:pPr>
        <w:ind w:left="980" w:hanging="359"/>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extend the final maturity of any Security;</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reduce the principal amount thereof, or premium thereon, if any;</w:t>
      </w:r>
    </w:p>
    <w:p>
      <w:pPr>
        <w:spacing w:after="0" w:line="190" w:lineRule="exact"/>
        <w:rPr>
          <w:rFonts w:ascii="Arial" w:cs="Arial" w:eastAsia="Arial" w:hAnsi="Arial"/>
          <w:sz w:val="17"/>
          <w:szCs w:val="17"/>
          <w:color w:val="auto"/>
        </w:rPr>
      </w:pPr>
    </w:p>
    <w:p>
      <w:pPr>
        <w:ind w:left="960" w:hanging="339"/>
        <w:spacing w:after="0"/>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reduce the rate or extend the time of payment of interest thereon;</w:t>
      </w:r>
    </w:p>
    <w:p>
      <w:pPr>
        <w:spacing w:after="0" w:line="190" w:lineRule="exact"/>
        <w:rPr>
          <w:rFonts w:ascii="Arial" w:cs="Arial" w:eastAsia="Arial" w:hAnsi="Arial"/>
          <w:sz w:val="17"/>
          <w:szCs w:val="17"/>
          <w:color w:val="auto"/>
        </w:rPr>
      </w:pPr>
    </w:p>
    <w:p>
      <w:pPr>
        <w:ind w:left="980" w:hanging="359"/>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reduce any amount payable on redemption thereof;</w:t>
      </w:r>
    </w:p>
    <w:p>
      <w:pPr>
        <w:spacing w:after="0" w:line="190" w:lineRule="exact"/>
        <w:rPr>
          <w:rFonts w:ascii="Arial" w:cs="Arial" w:eastAsia="Arial" w:hAnsi="Arial"/>
          <w:sz w:val="17"/>
          <w:szCs w:val="17"/>
          <w:color w:val="auto"/>
        </w:rPr>
      </w:pPr>
    </w:p>
    <w:p>
      <w:pPr>
        <w:ind w:right="220" w:firstLine="621"/>
        <w:spacing w:after="0" w:line="273" w:lineRule="auto"/>
        <w:tabs>
          <w:tab w:leader="none" w:pos="971"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make the principal thereof (including any amount in respect of original issue discount), or premium thereon, if any, or interest thereon payable in any coin or currency other than that provided in the Securities or in accordance with the terms thereof;</w:t>
      </w:r>
    </w:p>
    <w:p>
      <w:pPr>
        <w:spacing w:after="0" w:line="134" w:lineRule="exact"/>
        <w:rPr>
          <w:rFonts w:ascii="Arial" w:cs="Arial" w:eastAsia="Arial" w:hAnsi="Arial"/>
          <w:sz w:val="17"/>
          <w:szCs w:val="17"/>
          <w:color w:val="auto"/>
        </w:rPr>
      </w:pPr>
    </w:p>
    <w:p>
      <w:pPr>
        <w:ind w:left="920" w:hanging="299"/>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reduce the amount of the principal of a Discount Security that would be due and payable upon an acceleration of the maturity thereof</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pursuant to Section‎ 6.02 or the amount thereof provable in bankruptcy pursuant to Section‎ 6.04;</w:t>
      </w:r>
    </w:p>
    <w:p>
      <w:pPr>
        <w:spacing w:after="0" w:line="172" w:lineRule="exact"/>
        <w:rPr>
          <w:rFonts w:ascii="Arial" w:cs="Arial" w:eastAsia="Arial" w:hAnsi="Arial"/>
          <w:sz w:val="17"/>
          <w:szCs w:val="17"/>
          <w:color w:val="auto"/>
        </w:rPr>
      </w:pPr>
    </w:p>
    <w:p>
      <w:pPr>
        <w:ind w:right="960" w:firstLine="621"/>
        <w:spacing w:after="0" w:line="288" w:lineRule="auto"/>
        <w:tabs>
          <w:tab w:leader="none" w:pos="971"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case of Subordinated Securities of any series, modify any of the Subordination Provisions or the definition of “</w:t>
      </w:r>
      <w:r>
        <w:rPr>
          <w:rFonts w:ascii="Arial" w:cs="Arial" w:eastAsia="Arial" w:hAnsi="Arial"/>
          <w:sz w:val="17"/>
          <w:szCs w:val="17"/>
          <w:b w:val="1"/>
          <w:bCs w:val="1"/>
          <w:color w:val="auto"/>
        </w:rPr>
        <w:t>Senior</w:t>
      </w:r>
      <w:r>
        <w:rPr>
          <w:rFonts w:ascii="Arial" w:cs="Arial" w:eastAsia="Arial" w:hAnsi="Arial"/>
          <w:sz w:val="17"/>
          <w:szCs w:val="17"/>
          <w:color w:val="auto"/>
        </w:rPr>
        <w:t xml:space="preserve"> </w:t>
      </w:r>
      <w:r>
        <w:rPr>
          <w:rFonts w:ascii="Arial" w:cs="Arial" w:eastAsia="Arial" w:hAnsi="Arial"/>
          <w:sz w:val="17"/>
          <w:szCs w:val="17"/>
          <w:b w:val="1"/>
          <w:bCs w:val="1"/>
          <w:color w:val="auto"/>
        </w:rPr>
        <w:t>Indebtedness</w:t>
      </w:r>
      <w:r>
        <w:rPr>
          <w:rFonts w:ascii="Arial" w:cs="Arial" w:eastAsia="Arial" w:hAnsi="Arial"/>
          <w:sz w:val="17"/>
          <w:szCs w:val="17"/>
          <w:color w:val="auto"/>
        </w:rPr>
        <w:t>” relating to such series in a manner adverse to the holders of such Subordinated Securities;</w:t>
      </w:r>
    </w:p>
    <w:p>
      <w:pPr>
        <w:spacing w:after="0" w:line="112" w:lineRule="exact"/>
        <w:rPr>
          <w:rFonts w:ascii="Arial" w:cs="Arial" w:eastAsia="Arial" w:hAnsi="Arial"/>
          <w:sz w:val="17"/>
          <w:szCs w:val="17"/>
          <w:color w:val="auto"/>
        </w:rPr>
      </w:pPr>
    </w:p>
    <w:p>
      <w:pPr>
        <w:ind w:left="980" w:hanging="359"/>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alter the provisions of Section 11‎.15 or 11‎.16;</w:t>
      </w:r>
    </w:p>
    <w:p>
      <w:pPr>
        <w:spacing w:after="0" w:line="190" w:lineRule="exact"/>
        <w:rPr>
          <w:rFonts w:ascii="Arial" w:cs="Arial" w:eastAsia="Arial" w:hAnsi="Arial"/>
          <w:sz w:val="17"/>
          <w:szCs w:val="17"/>
          <w:color w:val="auto"/>
        </w:rPr>
      </w:pPr>
    </w:p>
    <w:p>
      <w:pPr>
        <w:ind w:right="40" w:firstLine="621"/>
        <w:spacing w:after="0" w:line="273" w:lineRule="auto"/>
        <w:tabs>
          <w:tab w:leader="none" w:pos="9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impair or affect the right of any Securityholder to institute suit for the payment thereof when due or, if the Securities provide therefor, any right of repayment at the option of the Securityholder;</w:t>
      </w:r>
    </w:p>
    <w:p>
      <w:pPr>
        <w:spacing w:after="0" w:line="134" w:lineRule="exact"/>
        <w:rPr>
          <w:rFonts w:ascii="Arial" w:cs="Arial" w:eastAsia="Arial" w:hAnsi="Arial"/>
          <w:sz w:val="17"/>
          <w:szCs w:val="17"/>
          <w:color w:val="auto"/>
        </w:rPr>
      </w:pPr>
    </w:p>
    <w:p>
      <w:pPr>
        <w:ind w:right="140" w:firstLine="621"/>
        <w:spacing w:after="0" w:line="255" w:lineRule="auto"/>
        <w:tabs>
          <w:tab w:leader="none" w:pos="9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reduce the aforesaid percentage of Securities of any Series, the consent of the Holders of which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49" w:lineRule="exact"/>
        <w:rPr>
          <w:rFonts w:ascii="Arial" w:cs="Arial" w:eastAsia="Arial" w:hAnsi="Arial"/>
          <w:sz w:val="17"/>
          <w:szCs w:val="17"/>
          <w:color w:val="auto"/>
        </w:rPr>
      </w:pPr>
    </w:p>
    <w:p>
      <w:pPr>
        <w:ind w:left="960" w:hanging="339"/>
        <w:spacing w:after="0"/>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modify any provision of this Section‎ 9.03.</w:t>
      </w:r>
    </w:p>
    <w:p>
      <w:pPr>
        <w:spacing w:after="0" w:line="191" w:lineRule="exact"/>
        <w:rPr>
          <w:sz w:val="20"/>
          <w:szCs w:val="20"/>
          <w:color w:val="auto"/>
        </w:rPr>
      </w:pPr>
    </w:p>
    <w:p>
      <w:pPr>
        <w:ind w:right="60" w:firstLine="618"/>
        <w:spacing w:after="0" w:line="273"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Compliance with Trust Indenture Act</w:t>
      </w:r>
      <w:r>
        <w:rPr>
          <w:rFonts w:ascii="Arial" w:cs="Arial" w:eastAsia="Arial" w:hAnsi="Arial"/>
          <w:sz w:val="17"/>
          <w:szCs w:val="17"/>
          <w:color w:val="auto"/>
        </w:rPr>
        <w:t>. Every amendment to this Indenture or the Securities of one or more Series shall be set forth in a supplemental indenture hereto that complies with the TIA as then in effect.</w:t>
      </w:r>
    </w:p>
    <w:p>
      <w:pPr>
        <w:spacing w:after="0" w:line="135" w:lineRule="exact"/>
        <w:rPr>
          <w:sz w:val="20"/>
          <w:szCs w:val="20"/>
          <w:color w:val="auto"/>
        </w:rPr>
      </w:pPr>
    </w:p>
    <w:p>
      <w:pPr>
        <w:ind w:right="80" w:firstLine="618"/>
        <w:spacing w:after="0" w:line="246"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xml:space="preserve"> 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spacing w:after="0" w:line="157" w:lineRule="exact"/>
        <w:rPr>
          <w:sz w:val="20"/>
          <w:szCs w:val="20"/>
          <w:color w:val="auto"/>
        </w:rPr>
      </w:pPr>
    </w:p>
    <w:p>
      <w:pPr>
        <w:ind w:firstLine="618"/>
        <w:spacing w:after="0" w:line="249" w:lineRule="auto"/>
        <w:rPr>
          <w:sz w:val="20"/>
          <w:szCs w:val="20"/>
          <w:color w:val="auto"/>
        </w:rPr>
      </w:pPr>
      <w:r>
        <w:rPr>
          <w:rFonts w:ascii="Arial" w:cs="Arial" w:eastAsia="Arial" w:hAnsi="Arial"/>
          <w:sz w:val="17"/>
          <w:szCs w:val="17"/>
          <w:color w:val="auto"/>
        </w:rPr>
        <w:t>Any amendment or waiver once effective shall bind every Securityholder of each Series affected by such amendment or waiver unless it is of the type described in any of clauses ‎(a) through ‎(g)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55" w:lineRule="exact"/>
        <w:rPr>
          <w:sz w:val="20"/>
          <w:szCs w:val="20"/>
          <w:color w:val="auto"/>
        </w:rPr>
      </w:pPr>
    </w:p>
    <w:p>
      <w:pPr>
        <w:ind w:right="280" w:firstLine="618"/>
        <w:spacing w:after="0" w:line="249"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Securityholders entitled to give their consent or take any other action described above or required or permitted to be taken pursuant to this Indenture. If a record date is fixed, then notwithstanding the immediately preceding paragraph, those Persons who were Securityholders at such record date (or their duly designated proxies), and only those Persons, shall be entitled to give such consent or to revoke any</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consent previously given or to take any such action, whether or not such Persons continue to be Securityholders after such record date.</w:t>
      </w:r>
    </w:p>
    <w:p>
      <w:pPr>
        <w:spacing w:after="0" w:line="191" w:lineRule="exact"/>
        <w:rPr>
          <w:sz w:val="20"/>
          <w:szCs w:val="20"/>
          <w:color w:val="auto"/>
        </w:rPr>
      </w:pPr>
    </w:p>
    <w:p>
      <w:pPr>
        <w:ind w:right="240" w:firstLine="618"/>
        <w:spacing w:after="0" w:line="255"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Notation on or Exchange of Securities</w:t>
      </w:r>
      <w:r>
        <w:rPr>
          <w:rFonts w:ascii="Arial" w:cs="Arial" w:eastAsia="Arial" w:hAnsi="Arial"/>
          <w:sz w:val="17"/>
          <w:szCs w:val="17"/>
          <w:color w:val="auto"/>
        </w:rPr>
        <w:t>. The Trustee may place an appropriate notation about an amendment or waiver on any Security of any Series thereafter authenticated. The Company in exchange for Securities of that Series may issue and the Trustee shall authenticate upon written request new Securities of that Series that reflect the amendment or waiver.</w:t>
      </w:r>
    </w:p>
    <w:p>
      <w:pPr>
        <w:spacing w:after="0" w:line="150" w:lineRule="exact"/>
        <w:rPr>
          <w:sz w:val="20"/>
          <w:szCs w:val="20"/>
          <w:color w:val="auto"/>
        </w:rPr>
      </w:pPr>
    </w:p>
    <w:p>
      <w:pPr>
        <w:ind w:right="20" w:firstLine="618"/>
        <w:spacing w:after="0" w:line="246"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Trustee Protected</w:t>
      </w:r>
      <w:r>
        <w:rPr>
          <w:rFonts w:ascii="Arial" w:cs="Arial" w:eastAsia="Arial" w:hAnsi="Arial"/>
          <w:sz w:val="17"/>
          <w:szCs w:val="17"/>
          <w:color w:val="auto"/>
        </w:rPr>
        <w:t>. 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Officers’ Certificate and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10</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ubordination of</w:t>
      </w:r>
      <w:r>
        <w:rPr>
          <w:rFonts w:ascii="Arial" w:cs="Arial" w:eastAsia="Arial" w:hAnsi="Arial"/>
          <w:sz w:val="17"/>
          <w:szCs w:val="17"/>
          <w:color w:val="auto"/>
        </w:rPr>
        <w:t xml:space="preserve"> S</w:t>
      </w:r>
      <w:r>
        <w:rPr>
          <w:rFonts w:ascii="Arial" w:cs="Arial" w:eastAsia="Arial" w:hAnsi="Arial"/>
          <w:sz w:val="11"/>
          <w:szCs w:val="11"/>
          <w:color w:val="auto"/>
        </w:rPr>
        <w:t>ecurities</w:t>
      </w:r>
    </w:p>
    <w:p>
      <w:pPr>
        <w:spacing w:after="0" w:line="175" w:lineRule="exact"/>
        <w:rPr>
          <w:sz w:val="20"/>
          <w:szCs w:val="20"/>
          <w:color w:val="auto"/>
        </w:rPr>
      </w:pPr>
    </w:p>
    <w:p>
      <w:pPr>
        <w:ind w:firstLine="618"/>
        <w:spacing w:after="0" w:line="244"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i w:val="1"/>
          <w:iCs w:val="1"/>
          <w:color w:val="auto"/>
        </w:rPr>
        <w:t>Agreement to Subordinate</w:t>
      </w:r>
      <w:r>
        <w:rPr>
          <w:rFonts w:ascii="Arial" w:cs="Arial" w:eastAsia="Arial" w:hAnsi="Arial"/>
          <w:sz w:val="17"/>
          <w:szCs w:val="17"/>
          <w:color w:val="auto"/>
        </w:rPr>
        <w:t>. The Company, for itself, its successors and assigns, covenants and agrees, and each Holder of Subordinated Securities of any Series by his acceptance thereof, likewise covenants and agrees, that the payment of the principal of (and premium, if any) and interest, if any, on, and mandatory sinking fund payments, if any, in respect of each and all of the Subordinated Securities of such series shall be expressly subordinated, to the extent and in the manner provided in the Subordination Provisions established with respect to the Subordinated Securities of such Series pursuant to ‎Section 2.02(i) hereof, in right of payment to the prior payment in full of all Senior Debt with respect to such Series.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11</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iscellaneous</w:t>
      </w:r>
    </w:p>
    <w:p>
      <w:pPr>
        <w:spacing w:after="0" w:line="175" w:lineRule="exact"/>
        <w:rPr>
          <w:sz w:val="20"/>
          <w:szCs w:val="20"/>
          <w:color w:val="auto"/>
        </w:rPr>
      </w:pPr>
    </w:p>
    <w:p>
      <w:pPr>
        <w:ind w:right="240" w:firstLine="618"/>
        <w:spacing w:after="0" w:line="273"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i w:val="1"/>
          <w:iCs w:val="1"/>
          <w:color w:val="auto"/>
        </w:rPr>
        <w:t>Trust Indenture Act Controls</w:t>
      </w:r>
      <w:r>
        <w:rPr>
          <w:rFonts w:ascii="Arial" w:cs="Arial" w:eastAsia="Arial" w:hAnsi="Arial"/>
          <w:sz w:val="17"/>
          <w:szCs w:val="17"/>
          <w:color w:val="auto"/>
        </w:rPr>
        <w:t>. If any provision of this Indenture limits, qualifies, or conflicts with another provision which is required or deemed to be included in this Indenture by the TIA, such required or deemed provision shall control.</w:t>
      </w:r>
    </w:p>
    <w:p>
      <w:pPr>
        <w:spacing w:after="0" w:line="135" w:lineRule="exact"/>
        <w:rPr>
          <w:sz w:val="20"/>
          <w:szCs w:val="20"/>
          <w:color w:val="auto"/>
        </w:rPr>
      </w:pPr>
    </w:p>
    <w:p>
      <w:pPr>
        <w:ind w:right="60" w:firstLine="618"/>
        <w:spacing w:after="0" w:line="273"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Notices.</w:t>
      </w:r>
      <w:r>
        <w:rPr>
          <w:rFonts w:ascii="Arial" w:cs="Arial" w:eastAsia="Arial" w:hAnsi="Arial"/>
          <w:sz w:val="17"/>
          <w:szCs w:val="17"/>
          <w:color w:val="auto"/>
        </w:rPr>
        <w:t xml:space="preserve"> Any notice or communication by the Company or the Trustee to the other is duly given if in writing and delivered in person, mailed by first-class mail or delivered by electronic transmission:</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the Company: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GH Research PLC</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Joshua Dawson House</w:t>
      </w:r>
    </w:p>
    <w:p>
      <w:pPr>
        <w:ind w:left="620"/>
        <w:spacing w:after="0" w:line="237" w:lineRule="auto"/>
        <w:rPr>
          <w:sz w:val="20"/>
          <w:szCs w:val="20"/>
          <w:color w:val="auto"/>
        </w:rPr>
      </w:pPr>
      <w:r>
        <w:rPr>
          <w:rFonts w:ascii="Arial" w:cs="Arial" w:eastAsia="Arial" w:hAnsi="Arial"/>
          <w:sz w:val="17"/>
          <w:szCs w:val="17"/>
          <w:color w:val="auto"/>
        </w:rPr>
        <w:t>Dawson Street</w:t>
      </w:r>
    </w:p>
    <w:p>
      <w:pPr>
        <w:ind w:left="620"/>
        <w:spacing w:after="0" w:line="237" w:lineRule="auto"/>
        <w:rPr>
          <w:sz w:val="20"/>
          <w:szCs w:val="20"/>
          <w:color w:val="auto"/>
        </w:rPr>
      </w:pPr>
      <w:r>
        <w:rPr>
          <w:rFonts w:ascii="Arial" w:cs="Arial" w:eastAsia="Arial" w:hAnsi="Arial"/>
          <w:sz w:val="17"/>
          <w:szCs w:val="17"/>
          <w:color w:val="auto"/>
        </w:rPr>
        <w:t>Dublin 2</w:t>
      </w:r>
    </w:p>
    <w:p>
      <w:pPr>
        <w:ind w:left="620"/>
        <w:spacing w:after="0" w:line="237" w:lineRule="auto"/>
        <w:rPr>
          <w:sz w:val="20"/>
          <w:szCs w:val="20"/>
          <w:color w:val="auto"/>
        </w:rPr>
      </w:pPr>
      <w:r>
        <w:rPr>
          <w:rFonts w:ascii="Arial" w:cs="Arial" w:eastAsia="Arial" w:hAnsi="Arial"/>
          <w:sz w:val="17"/>
          <w:szCs w:val="17"/>
          <w:color w:val="auto"/>
        </w:rPr>
        <w:t>D02 RY95</w:t>
      </w:r>
    </w:p>
    <w:p>
      <w:pPr>
        <w:ind w:left="620"/>
        <w:spacing w:after="0" w:line="237" w:lineRule="auto"/>
        <w:rPr>
          <w:sz w:val="20"/>
          <w:szCs w:val="20"/>
          <w:color w:val="auto"/>
        </w:rPr>
      </w:pPr>
      <w:r>
        <w:rPr>
          <w:rFonts w:ascii="Arial" w:cs="Arial" w:eastAsia="Arial" w:hAnsi="Arial"/>
          <w:sz w:val="17"/>
          <w:szCs w:val="17"/>
          <w:color w:val="auto"/>
        </w:rPr>
        <w:t>Ireland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Attention: Vice President, Finance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the Trustee: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[___]</w:t>
      </w:r>
    </w:p>
    <w:p>
      <w:pPr>
        <w:spacing w:after="0" w:line="191" w:lineRule="exact"/>
        <w:rPr>
          <w:sz w:val="20"/>
          <w:szCs w:val="20"/>
          <w:color w:val="auto"/>
        </w:rPr>
      </w:pPr>
    </w:p>
    <w:p>
      <w:pPr>
        <w:ind w:right="1120" w:firstLine="618"/>
        <w:spacing w:after="0" w:line="273" w:lineRule="auto"/>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135" w:lineRule="exact"/>
        <w:rPr>
          <w:sz w:val="20"/>
          <w:szCs w:val="20"/>
          <w:color w:val="auto"/>
        </w:rPr>
      </w:pPr>
    </w:p>
    <w:p>
      <w:pPr>
        <w:ind w:right="60" w:firstLine="618"/>
        <w:spacing w:after="0" w:line="273" w:lineRule="auto"/>
        <w:rPr>
          <w:sz w:val="20"/>
          <w:szCs w:val="20"/>
          <w:color w:val="auto"/>
        </w:rPr>
      </w:pPr>
      <w:r>
        <w:rPr>
          <w:rFonts w:ascii="Arial" w:cs="Arial" w:eastAsia="Arial" w:hAnsi="Arial"/>
          <w:sz w:val="17"/>
          <w:szCs w:val="17"/>
          <w:color w:val="auto"/>
        </w:rPr>
        <w:t>Any notice or communication to a Securityholder shall be provided by electronic transmission or by first-class mail to his address shown on the register kept by the Registrar and, if any Bearer Securities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92" w:name="page93"/>
    <w:bookmarkEnd w:id="92"/>
    <w:p>
      <w:pPr>
        <w:ind w:right="460"/>
        <w:spacing w:after="0" w:line="273" w:lineRule="auto"/>
        <w:rPr>
          <w:sz w:val="20"/>
          <w:szCs w:val="20"/>
          <w:color w:val="auto"/>
        </w:rPr>
      </w:pPr>
      <w:r>
        <w:rPr>
          <w:rFonts w:ascii="Arial" w:cs="Arial" w:eastAsia="Arial" w:hAnsi="Arial"/>
          <w:sz w:val="17"/>
          <w:szCs w:val="17"/>
          <w:color w:val="auto"/>
        </w:rPr>
        <w:t>are outstanding, published in an Authorized Newspaper. Failure to provide a notice or communication to a Securityholder of any Series or any defect in it shall not affect its sufficiency with respect to other Securityholders of that or any other Series.</w:t>
      </w:r>
    </w:p>
    <w:p>
      <w:pPr>
        <w:spacing w:after="0" w:line="135" w:lineRule="exact"/>
        <w:rPr>
          <w:sz w:val="20"/>
          <w:szCs w:val="20"/>
          <w:color w:val="auto"/>
        </w:rPr>
      </w:pPr>
    </w:p>
    <w:p>
      <w:pPr>
        <w:ind w:right="140" w:firstLine="618"/>
        <w:spacing w:after="0" w:line="273" w:lineRule="auto"/>
        <w:rPr>
          <w:sz w:val="20"/>
          <w:szCs w:val="20"/>
          <w:color w:val="auto"/>
        </w:rPr>
      </w:pPr>
      <w:r>
        <w:rPr>
          <w:rFonts w:ascii="Arial" w:cs="Arial" w:eastAsia="Arial" w:hAnsi="Arial"/>
          <w:sz w:val="17"/>
          <w:szCs w:val="17"/>
          <w:color w:val="auto"/>
        </w:rPr>
        <w:t>If a notice or communication is provided or published in the manner provided above, within the time prescribed, it is duly given, whether or not the Securityholder receives it.</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the Company provides a notice or communication to Securityholders, it shall provide a copy to the Trustee and each Agent at the same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75" w:lineRule="exact"/>
        <w:rPr>
          <w:sz w:val="20"/>
          <w:szCs w:val="20"/>
          <w:color w:val="auto"/>
        </w:rPr>
      </w:pPr>
    </w:p>
    <w:p>
      <w:pPr>
        <w:ind w:firstLine="618"/>
        <w:spacing w:after="0" w:line="255" w:lineRule="auto"/>
        <w:rPr>
          <w:sz w:val="20"/>
          <w:szCs w:val="20"/>
          <w:color w:val="auto"/>
        </w:rPr>
      </w:pPr>
      <w:r>
        <w:rPr>
          <w:rFonts w:ascii="Arial" w:cs="Arial" w:eastAsia="Arial" w:hAnsi="Arial"/>
          <w:sz w:val="17"/>
          <w:szCs w:val="17"/>
          <w:color w:val="auto"/>
        </w:rPr>
        <w:t>In case, by reason of the suspension of or irregularities in regular mail service, it shall be impracticable to mail notice by the Company when such notice is required to be given pursuant to any provision of this Indenture, then any manner of giving such notice as shall be reasonably satisfactory to the Trustee shall be deemed to be a sufficient giving of such notice.</w:t>
      </w:r>
    </w:p>
    <w:p>
      <w:pPr>
        <w:spacing w:after="0" w:line="150" w:lineRule="exact"/>
        <w:rPr>
          <w:sz w:val="20"/>
          <w:szCs w:val="20"/>
          <w:color w:val="auto"/>
        </w:rPr>
      </w:pPr>
    </w:p>
    <w:p>
      <w:pPr>
        <w:ind w:right="20" w:firstLine="618"/>
        <w:spacing w:after="0" w:line="273" w:lineRule="auto"/>
        <w:rPr>
          <w:sz w:val="20"/>
          <w:szCs w:val="20"/>
          <w:color w:val="auto"/>
        </w:rPr>
      </w:pPr>
      <w:r>
        <w:rPr>
          <w:rFonts w:ascii="Arial" w:cs="Arial" w:eastAsia="Arial" w:hAnsi="Arial"/>
          <w:sz w:val="17"/>
          <w:szCs w:val="17"/>
          <w:color w:val="auto"/>
        </w:rPr>
        <w:t>Notwithstanding anything in this Indenture to the contrary, wherever notice is to be given to Securityholders of Registered Global Securities, it shall be sufficient if such notice is given in accordance with the procedures of the Depositary.</w:t>
      </w:r>
    </w:p>
    <w:p>
      <w:pPr>
        <w:spacing w:after="0" w:line="135" w:lineRule="exact"/>
        <w:rPr>
          <w:sz w:val="20"/>
          <w:szCs w:val="20"/>
          <w:color w:val="auto"/>
        </w:rPr>
      </w:pPr>
    </w:p>
    <w:p>
      <w:pPr>
        <w:ind w:right="140" w:firstLine="618"/>
        <w:spacing w:after="0" w:line="255"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Communication by Holders with Other Holders</w:t>
      </w:r>
      <w:r>
        <w:rPr>
          <w:rFonts w:ascii="Arial" w:cs="Arial" w:eastAsia="Arial" w:hAnsi="Arial"/>
          <w:sz w:val="17"/>
          <w:szCs w:val="17"/>
          <w:color w:val="auto"/>
        </w:rPr>
        <w:t>. 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50" w:lineRule="exact"/>
        <w:rPr>
          <w:sz w:val="20"/>
          <w:szCs w:val="20"/>
          <w:color w:val="auto"/>
        </w:rPr>
      </w:pPr>
    </w:p>
    <w:p>
      <w:pPr>
        <w:ind w:right="20" w:firstLine="618"/>
        <w:spacing w:after="0" w:line="273"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i w:val="1"/>
          <w:iCs w:val="1"/>
          <w:color w:val="auto"/>
        </w:rPr>
        <w:t>Certificate and Opinion as to Conditions Precedent.</w:t>
      </w:r>
      <w:r>
        <w:rPr>
          <w:rFonts w:ascii="Arial" w:cs="Arial" w:eastAsia="Arial" w:hAnsi="Arial"/>
          <w:sz w:val="17"/>
          <w:szCs w:val="17"/>
          <w:color w:val="auto"/>
        </w:rPr>
        <w:t xml:space="preserve"> Upon any request or application by the Company to the Trustee to take or refrain from taking any action under this Indenture, the Company shall furnish to the Trustee:</w:t>
      </w:r>
    </w:p>
    <w:p>
      <w:pPr>
        <w:spacing w:after="0" w:line="135" w:lineRule="exact"/>
        <w:rPr>
          <w:sz w:val="20"/>
          <w:szCs w:val="20"/>
          <w:color w:val="auto"/>
        </w:rPr>
      </w:pPr>
    </w:p>
    <w:p>
      <w:pPr>
        <w:ind w:firstLine="621"/>
        <w:spacing w:after="0" w:line="273" w:lineRule="auto"/>
        <w:tabs>
          <w:tab w:leader="none" w:pos="971"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Officers’ Certificate stating that, in the opinion of the signers, all conditions precedent, if any, provided for in this Indenture relating to the proposed action have been complied with; and</w:t>
      </w:r>
    </w:p>
    <w:p>
      <w:pPr>
        <w:spacing w:after="0" w:line="134" w:lineRule="exact"/>
        <w:rPr>
          <w:rFonts w:ascii="Arial" w:cs="Arial" w:eastAsia="Arial" w:hAnsi="Arial"/>
          <w:sz w:val="17"/>
          <w:szCs w:val="17"/>
          <w:color w:val="auto"/>
        </w:rPr>
      </w:pPr>
    </w:p>
    <w:p>
      <w:pPr>
        <w:ind w:left="980" w:hanging="359"/>
        <w:spacing w:after="0"/>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Opinion of Counsel stating that, in the opinion of such counsel, all such conditions precedent have been complied with.</w:t>
      </w:r>
    </w:p>
    <w:p>
      <w:pPr>
        <w:spacing w:after="0" w:line="191" w:lineRule="exact"/>
        <w:rPr>
          <w:sz w:val="20"/>
          <w:szCs w:val="20"/>
          <w:color w:val="auto"/>
        </w:rPr>
      </w:pPr>
    </w:p>
    <w:p>
      <w:pPr>
        <w:ind w:right="320" w:firstLine="618"/>
        <w:spacing w:after="0" w:line="273"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i w:val="1"/>
          <w:iCs w:val="1"/>
          <w:color w:val="auto"/>
        </w:rPr>
        <w:t>Statements Required in Certificate or Opinion</w:t>
      </w:r>
      <w:r>
        <w:rPr>
          <w:rFonts w:ascii="Arial" w:cs="Arial" w:eastAsia="Arial" w:hAnsi="Arial"/>
          <w:sz w:val="17"/>
          <w:szCs w:val="17"/>
          <w:color w:val="auto"/>
        </w:rPr>
        <w:t>. Each certificate or opinion with respect to compliance with a condition or covenant provided for in this Indenture shall include:</w:t>
      </w:r>
    </w:p>
    <w:p>
      <w:pPr>
        <w:spacing w:after="0" w:line="135" w:lineRule="exact"/>
        <w:rPr>
          <w:sz w:val="20"/>
          <w:szCs w:val="20"/>
          <w:color w:val="auto"/>
        </w:rPr>
      </w:pPr>
    </w:p>
    <w:p>
      <w:pPr>
        <w:ind w:left="980" w:hanging="359"/>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statement that the person making such certificate or opinion has read such covenant or condition;</w:t>
      </w:r>
    </w:p>
    <w:p>
      <w:pPr>
        <w:spacing w:after="0" w:line="190" w:lineRule="exact"/>
        <w:rPr>
          <w:rFonts w:ascii="Arial" w:cs="Arial" w:eastAsia="Arial" w:hAnsi="Arial"/>
          <w:sz w:val="17"/>
          <w:szCs w:val="17"/>
          <w:color w:val="auto"/>
        </w:rPr>
      </w:pPr>
    </w:p>
    <w:p>
      <w:pPr>
        <w:ind w:right="260" w:firstLine="621"/>
        <w:spacing w:after="0" w:line="273" w:lineRule="auto"/>
        <w:tabs>
          <w:tab w:leader="none" w:pos="971"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brief statement as to the nature and scope of the examination or investigation upon which the statements or opinions contained in such certificate or opinion are based;</w:t>
      </w:r>
    </w:p>
    <w:p>
      <w:pPr>
        <w:spacing w:after="0" w:line="134" w:lineRule="exact"/>
        <w:rPr>
          <w:rFonts w:ascii="Arial" w:cs="Arial" w:eastAsia="Arial" w:hAnsi="Arial"/>
          <w:sz w:val="17"/>
          <w:szCs w:val="17"/>
          <w:color w:val="auto"/>
        </w:rPr>
      </w:pPr>
    </w:p>
    <w:p>
      <w:pPr>
        <w:ind w:right="360" w:firstLine="621"/>
        <w:spacing w:after="0" w:line="273" w:lineRule="auto"/>
        <w:tabs>
          <w:tab w:leader="none" w:pos="961"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134" w:lineRule="exact"/>
        <w:rPr>
          <w:rFonts w:ascii="Arial" w:cs="Arial" w:eastAsia="Arial" w:hAnsi="Arial"/>
          <w:sz w:val="17"/>
          <w:szCs w:val="17"/>
          <w:color w:val="auto"/>
        </w:rPr>
      </w:pPr>
    </w:p>
    <w:p>
      <w:pPr>
        <w:ind w:left="980" w:hanging="359"/>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statement as to whether or not, in the opinion of such person, such condition or covenant has been complied with.</w:t>
      </w:r>
    </w:p>
    <w:p>
      <w:pPr>
        <w:spacing w:after="0" w:line="191" w:lineRule="exact"/>
        <w:rPr>
          <w:sz w:val="20"/>
          <w:szCs w:val="20"/>
          <w:color w:val="auto"/>
        </w:rPr>
      </w:pPr>
    </w:p>
    <w:p>
      <w:pPr>
        <w:ind w:right="40" w:firstLine="618"/>
        <w:spacing w:after="0" w:line="273"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i w:val="1"/>
          <w:iCs w:val="1"/>
          <w:color w:val="auto"/>
        </w:rPr>
        <w:t>Rules by Trustee and Agents</w:t>
      </w:r>
      <w:r>
        <w:rPr>
          <w:rFonts w:ascii="Arial" w:cs="Arial" w:eastAsia="Arial" w:hAnsi="Arial"/>
          <w:sz w:val="17"/>
          <w:szCs w:val="17"/>
          <w:color w:val="auto"/>
        </w:rPr>
        <w:t>. The Trustee may make reasonable rules for action by or a meeting of Securityholders of one or more Series. Any Agent may make reasonable rules and set reasonable requirements for its functions.</w:t>
      </w:r>
    </w:p>
    <w:p>
      <w:pPr>
        <w:spacing w:after="0" w:line="135" w:lineRule="exact"/>
        <w:rPr>
          <w:sz w:val="20"/>
          <w:szCs w:val="20"/>
          <w:color w:val="auto"/>
        </w:rPr>
      </w:pPr>
    </w:p>
    <w:p>
      <w:pPr>
        <w:ind w:right="20" w:firstLine="618"/>
        <w:spacing w:after="0" w:line="255"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i w:val="1"/>
          <w:iCs w:val="1"/>
          <w:color w:val="auto"/>
        </w:rPr>
        <w:t>Legal Holidays</w:t>
      </w:r>
      <w:r>
        <w:rPr>
          <w:rFonts w:ascii="Arial" w:cs="Arial" w:eastAsia="Arial" w:hAnsi="Arial"/>
          <w:sz w:val="17"/>
          <w:szCs w:val="17"/>
          <w:color w:val="auto"/>
        </w:rPr>
        <w:t>. Unless otherwise provided by Board Resolution, Officers’ Certificate or supplemental indenture for a particular Series, a “</w:t>
      </w:r>
      <w:r>
        <w:rPr>
          <w:rFonts w:ascii="Arial" w:cs="Arial" w:eastAsia="Arial" w:hAnsi="Arial"/>
          <w:sz w:val="17"/>
          <w:szCs w:val="17"/>
          <w:b w:val="1"/>
          <w:bCs w:val="1"/>
          <w:color w:val="auto"/>
        </w:rPr>
        <w:t>Legal Holiday</w:t>
      </w:r>
      <w:r>
        <w:rPr>
          <w:rFonts w:ascii="Arial" w:cs="Arial" w:eastAsia="Arial" w:hAnsi="Arial"/>
          <w:sz w:val="17"/>
          <w:szCs w:val="17"/>
          <w:color w:val="auto"/>
        </w:rPr>
        <w:t>” is a Saturday, Sunday or a day on which banking institutions in the city (or in any of the cities, if more than one) in which amounts are payable, as specified in the form of such Security, are not required by any applicable law or regulation to</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93" w:name="page94"/>
    <w:bookmarkEnd w:id="93"/>
    <w:p>
      <w:pPr>
        <w:ind w:right="40"/>
        <w:spacing w:after="0" w:line="255" w:lineRule="auto"/>
        <w:rPr>
          <w:sz w:val="20"/>
          <w:szCs w:val="20"/>
          <w:color w:val="auto"/>
        </w:rPr>
      </w:pPr>
      <w:r>
        <w:rPr>
          <w:rFonts w:ascii="Arial" w:cs="Arial" w:eastAsia="Arial" w:hAnsi="Arial"/>
          <w:sz w:val="17"/>
          <w:szCs w:val="17"/>
          <w:color w:val="auto"/>
        </w:rPr>
        <w:t>be open. If a payment date for the payment of principal or interest on any Security falls on a Legal Holiday, such payment shall be made on the next succeeding Business Day, and no interest shall accrue for the intervening period. If a regular record date is a Legal Holiday, the record date shall not be affected.</w:t>
      </w:r>
    </w:p>
    <w:p>
      <w:pPr>
        <w:spacing w:after="0" w:line="150" w:lineRule="exact"/>
        <w:rPr>
          <w:sz w:val="20"/>
          <w:szCs w:val="20"/>
          <w:color w:val="auto"/>
        </w:rPr>
      </w:pPr>
    </w:p>
    <w:p>
      <w:pPr>
        <w:ind w:firstLine="618"/>
        <w:spacing w:after="0" w:line="244"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i w:val="1"/>
          <w:iCs w:val="1"/>
          <w:color w:val="auto"/>
        </w:rPr>
        <w:t>No Recourse Against Others</w:t>
      </w:r>
      <w:r>
        <w:rPr>
          <w:rFonts w:ascii="Arial" w:cs="Arial" w:eastAsia="Arial" w:hAnsi="Arial"/>
          <w:sz w:val="17"/>
          <w:szCs w:val="17"/>
          <w:color w:val="auto"/>
        </w:rPr>
        <w:t>.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and the coupons, if any, appertaining thereto by the Holders thereof and as part of the consideration for the issue of the Securities and the coupons, if any, appertaining thereto.</w:t>
      </w:r>
    </w:p>
    <w:p>
      <w:pPr>
        <w:spacing w:after="0" w:line="160" w:lineRule="exact"/>
        <w:rPr>
          <w:sz w:val="20"/>
          <w:szCs w:val="20"/>
          <w:color w:val="auto"/>
        </w:rPr>
      </w:pPr>
    </w:p>
    <w:p>
      <w:pPr>
        <w:ind w:firstLine="618"/>
        <w:spacing w:after="0" w:line="244"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i w:val="1"/>
          <w:iCs w:val="1"/>
          <w:color w:val="auto"/>
        </w:rPr>
        <w:t>Counterparts</w:t>
      </w:r>
      <w:r>
        <w:rPr>
          <w:rFonts w:ascii="Arial" w:cs="Arial" w:eastAsia="Arial" w:hAnsi="Arial"/>
          <w:sz w:val="17"/>
          <w:szCs w:val="17"/>
          <w:color w:val="auto"/>
        </w:rPr>
        <w:t>. 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60" w:lineRule="exact"/>
        <w:rPr>
          <w:sz w:val="20"/>
          <w:szCs w:val="20"/>
          <w:color w:val="auto"/>
        </w:rPr>
      </w:pPr>
    </w:p>
    <w:p>
      <w:pPr>
        <w:ind w:right="260" w:firstLine="618"/>
        <w:spacing w:after="0" w:line="249"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i w:val="1"/>
          <w:iCs w:val="1"/>
          <w:color w:val="auto"/>
        </w:rPr>
        <w:t>Governing Laws; Submission to Jurisdiction; Waiver of Jury Trial.</w:t>
      </w:r>
      <w:r>
        <w:rPr>
          <w:rFonts w:ascii="Arial" w:cs="Arial" w:eastAsia="Arial" w:hAnsi="Arial"/>
          <w:sz w:val="17"/>
          <w:szCs w:val="17"/>
          <w:color w:val="auto"/>
        </w:rPr>
        <w:t xml:space="preserve"> THIS INDENTURE AND EACH SECURITY SHALL BE DEEMED TO BE A CONTRACT UNDER THE LAWS OF THE STATE OF NEW YORK, AND FOR ALL PURPOSES SHALL BE GOVERNED BY AND CONSTRUED IN ACCORDANCE WITH THE LAWS OF SUCH STATE, INCLUDING, WITHOUT LIMITATION, SECTIONS 5-1401 AND 5-1402 OF THE NEW YORK GENERAL OBLIGATIONS LAW AND NEW YORK CIVIL PRACTICE LAWS AND RULES 327(b).</w:t>
      </w:r>
    </w:p>
    <w:p>
      <w:pPr>
        <w:spacing w:after="0" w:line="155" w:lineRule="exact"/>
        <w:rPr>
          <w:sz w:val="20"/>
          <w:szCs w:val="20"/>
          <w:color w:val="auto"/>
        </w:rPr>
      </w:pPr>
    </w:p>
    <w:p>
      <w:pPr>
        <w:ind w:right="40" w:firstLine="618"/>
        <w:spacing w:after="0" w:line="249" w:lineRule="auto"/>
        <w:rPr>
          <w:sz w:val="20"/>
          <w:szCs w:val="20"/>
          <w:color w:val="auto"/>
        </w:rPr>
      </w:pPr>
      <w:r>
        <w:rPr>
          <w:rFonts w:ascii="Arial" w:cs="Arial" w:eastAsia="Arial" w:hAnsi="Arial"/>
          <w:sz w:val="17"/>
          <w:szCs w:val="17"/>
          <w:color w:val="auto"/>
        </w:rPr>
        <w:t>The Company submits to the non-exclusive jurisdiction of any New York State or United States Federal court sitting in The City of New York over any suit, action or proceeding arising out of or relating to this Indenture or the Securities. The Company irrevocably waives, to the fullest extent permitted by law, any objection which it may now or hereafter have to the laying of venue of any such suit, action or proceeding brought in such a court and any claim that any such suit, action or proceeding brought in such a court has been brought in an inconvenient forum.</w:t>
      </w:r>
    </w:p>
    <w:p>
      <w:pPr>
        <w:spacing w:after="0" w:line="155" w:lineRule="exact"/>
        <w:rPr>
          <w:sz w:val="20"/>
          <w:szCs w:val="20"/>
          <w:color w:val="auto"/>
        </w:rPr>
      </w:pPr>
    </w:p>
    <w:p>
      <w:pPr>
        <w:jc w:val="both"/>
        <w:ind w:right="620" w:firstLine="618"/>
        <w:spacing w:after="0" w:line="255" w:lineRule="auto"/>
        <w:rPr>
          <w:sz w:val="20"/>
          <w:szCs w:val="20"/>
          <w:color w:val="auto"/>
        </w:rPr>
      </w:pPr>
      <w:r>
        <w:rPr>
          <w:rFonts w:ascii="Arial" w:cs="Arial" w:eastAsia="Arial" w:hAnsi="Arial"/>
          <w:sz w:val="17"/>
          <w:szCs w:val="17"/>
          <w:color w:val="auto"/>
        </w:rPr>
        <w:t>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150" w:lineRule="exact"/>
        <w:rPr>
          <w:sz w:val="20"/>
          <w:szCs w:val="20"/>
          <w:color w:val="auto"/>
        </w:rPr>
      </w:pPr>
    </w:p>
    <w:p>
      <w:pPr>
        <w:jc w:val="both"/>
        <w:ind w:right="40" w:firstLine="618"/>
        <w:spacing w:after="0" w:line="273"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No Adverse Interpretation of Other Agreements</w:t>
      </w:r>
      <w:r>
        <w:rPr>
          <w:rFonts w:ascii="Arial" w:cs="Arial" w:eastAsia="Arial" w:hAnsi="Arial"/>
          <w:sz w:val="17"/>
          <w:szCs w:val="17"/>
          <w:color w:val="auto"/>
        </w:rPr>
        <w:t>. This Indenture may not be used to interpret another indenture, loan or debt agreement of the Company or a Subsidiary. Any such indenture, loan or debt agreement may not be used to interpret this Indenture.</w:t>
      </w:r>
    </w:p>
    <w:p>
      <w:pPr>
        <w:spacing w:after="0" w:line="135" w:lineRule="exact"/>
        <w:rPr>
          <w:sz w:val="20"/>
          <w:szCs w:val="20"/>
          <w:color w:val="auto"/>
        </w:rPr>
      </w:pPr>
    </w:p>
    <w:p>
      <w:pPr>
        <w:ind w:right="80" w:firstLine="618"/>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Successors</w:t>
      </w:r>
      <w:r>
        <w:rPr>
          <w:rFonts w:ascii="Arial" w:cs="Arial" w:eastAsia="Arial" w:hAnsi="Arial"/>
          <w:sz w:val="17"/>
          <w:szCs w:val="17"/>
          <w:color w:val="auto"/>
        </w:rPr>
        <w:t>. All agreements of the Company in this Indenture and the Securities shall bind its successor. All agreements of the Trustee in this Indenture shall bind its successor.</w:t>
      </w:r>
    </w:p>
    <w:p>
      <w:pPr>
        <w:spacing w:after="0" w:line="135" w:lineRule="exact"/>
        <w:rPr>
          <w:sz w:val="20"/>
          <w:szCs w:val="20"/>
          <w:color w:val="auto"/>
        </w:rPr>
      </w:pPr>
    </w:p>
    <w:p>
      <w:pPr>
        <w:ind w:right="80" w:firstLine="618"/>
        <w:spacing w:after="0" w:line="273"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Severability</w:t>
      </w:r>
      <w:r>
        <w:rPr>
          <w:rFonts w:ascii="Arial" w:cs="Arial" w:eastAsia="Arial" w:hAnsi="Arial"/>
          <w:sz w:val="17"/>
          <w:szCs w:val="17"/>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35" w:lineRule="exact"/>
        <w:rPr>
          <w:sz w:val="20"/>
          <w:szCs w:val="20"/>
          <w:color w:val="auto"/>
        </w:rPr>
      </w:pPr>
    </w:p>
    <w:p>
      <w:pPr>
        <w:jc w:val="both"/>
        <w:ind w:right="20" w:firstLine="618"/>
        <w:spacing w:after="0" w:line="255"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i w:val="1"/>
          <w:iCs w:val="1"/>
          <w:color w:val="auto"/>
        </w:rPr>
        <w:t>Table of Contents, Headings, Etc</w:t>
      </w:r>
      <w:r>
        <w:rPr>
          <w:rFonts w:ascii="Arial" w:cs="Arial" w:eastAsia="Arial" w:hAnsi="Arial"/>
          <w:sz w:val="17"/>
          <w:szCs w:val="17"/>
          <w:color w:val="auto"/>
        </w:rPr>
        <w:t>. 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4" w:name="page95"/>
    <w:bookmarkEnd w:id="94"/>
    <w:p>
      <w:pPr>
        <w:ind w:left="620"/>
        <w:spacing w:after="0"/>
        <w:rPr>
          <w:sz w:val="20"/>
          <w:szCs w:val="20"/>
          <w:color w:val="auto"/>
        </w:rPr>
      </w:pPr>
      <w:r>
        <w:rPr>
          <w:rFonts w:ascii="Arial" w:cs="Arial" w:eastAsia="Arial" w:hAnsi="Arial"/>
          <w:sz w:val="17"/>
          <w:szCs w:val="17"/>
          <w:color w:val="auto"/>
        </w:rPr>
        <w:t xml:space="preserve">Section 11.15. </w:t>
      </w:r>
      <w:r>
        <w:rPr>
          <w:rFonts w:ascii="Arial" w:cs="Arial" w:eastAsia="Arial" w:hAnsi="Arial"/>
          <w:sz w:val="17"/>
          <w:szCs w:val="17"/>
          <w:i w:val="1"/>
          <w:iCs w:val="1"/>
          <w:color w:val="auto"/>
        </w:rPr>
        <w:t>Securities in a Foreign Currency</w:t>
      </w:r>
      <w:r>
        <w:rPr>
          <w:rFonts w:ascii="Arial" w:cs="Arial" w:eastAsia="Arial" w:hAnsi="Arial"/>
          <w:sz w:val="17"/>
          <w:szCs w:val="17"/>
          <w:color w:val="auto"/>
        </w:rPr>
        <w:t>. Unless otherwise specified in a Board Resolution, a supplemental indenture hereto or an</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11.15, “</w:t>
      </w:r>
      <w:r>
        <w:rPr>
          <w:rFonts w:ascii="Arial" w:cs="Arial" w:eastAsia="Arial" w:hAnsi="Arial"/>
          <w:sz w:val="17"/>
          <w:szCs w:val="17"/>
          <w:b w:val="1"/>
          <w:bCs w:val="1"/>
          <w:color w:val="auto"/>
        </w:rPr>
        <w:t>Market Exchange Rate</w:t>
      </w:r>
      <w:r>
        <w:rPr>
          <w:rFonts w:ascii="Arial" w:cs="Arial" w:eastAsia="Arial" w:hAnsi="Arial"/>
          <w:sz w:val="17"/>
          <w:szCs w:val="17"/>
          <w:color w:val="auto"/>
        </w:rPr>
        <w:t>”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or quotations from one or more major banks in The City of New York or in the country of issue of the currency in question.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0" w:lineRule="exact"/>
        <w:rPr>
          <w:sz w:val="20"/>
          <w:szCs w:val="20"/>
          <w:color w:val="auto"/>
        </w:rPr>
      </w:pPr>
    </w:p>
    <w:p>
      <w:pPr>
        <w:jc w:val="both"/>
        <w:ind w:right="320" w:firstLine="618"/>
        <w:spacing w:after="0" w:line="255" w:lineRule="auto"/>
        <w:rPr>
          <w:sz w:val="20"/>
          <w:szCs w:val="20"/>
          <w:color w:val="auto"/>
        </w:rPr>
      </w:pPr>
      <w:r>
        <w:rPr>
          <w:rFonts w:ascii="Arial" w:cs="Arial" w:eastAsia="Arial" w:hAnsi="Arial"/>
          <w:sz w:val="17"/>
          <w:szCs w:val="17"/>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spacing w:after="0" w:line="150" w:lineRule="exact"/>
        <w:rPr>
          <w:sz w:val="20"/>
          <w:szCs w:val="20"/>
          <w:color w:val="auto"/>
        </w:rPr>
      </w:pPr>
    </w:p>
    <w:p>
      <w:pPr>
        <w:ind w:right="60" w:firstLine="618"/>
        <w:spacing w:after="0" w:line="239"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i w:val="1"/>
          <w:iCs w:val="1"/>
          <w:color w:val="auto"/>
        </w:rPr>
        <w:t>Judgment Currency</w:t>
      </w:r>
      <w:r>
        <w:rPr>
          <w:rFonts w:ascii="Arial" w:cs="Arial" w:eastAsia="Arial" w:hAnsi="Arial"/>
          <w:sz w:val="17"/>
          <w:szCs w:val="17"/>
          <w:color w:val="auto"/>
        </w:rPr>
        <w:t>. 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7"/>
          <w:szCs w:val="17"/>
          <w:b w:val="1"/>
          <w:bCs w:val="1"/>
          <w:color w:val="auto"/>
        </w:rPr>
        <w:t>Required Currency</w:t>
      </w:r>
      <w:r>
        <w:rPr>
          <w:rFonts w:ascii="Arial" w:cs="Arial" w:eastAsia="Arial" w:hAnsi="Arial"/>
          <w:sz w:val="17"/>
          <w:szCs w:val="17"/>
          <w:color w:val="auto"/>
        </w:rPr>
        <w:t>”) into a currency in which a judgment will be rendered (the “</w:t>
      </w:r>
      <w:r>
        <w:rPr>
          <w:rFonts w:ascii="Arial" w:cs="Arial" w:eastAsia="Arial" w:hAnsi="Arial"/>
          <w:sz w:val="17"/>
          <w:szCs w:val="17"/>
          <w:b w:val="1"/>
          <w:bCs w:val="1"/>
          <w:color w:val="auto"/>
        </w:rPr>
        <w:t>Judgment Currency</w:t>
      </w:r>
      <w:r>
        <w:rPr>
          <w:rFonts w:ascii="Arial" w:cs="Arial" w:eastAsia="Arial" w:hAnsi="Arial"/>
          <w:sz w:val="17"/>
          <w:szCs w:val="17"/>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7"/>
          <w:szCs w:val="17"/>
          <w:b w:val="1"/>
          <w:bCs w:val="1"/>
          <w:color w:val="auto"/>
        </w:rPr>
        <w:t>New York Banking Day</w:t>
      </w:r>
      <w:r>
        <w:rPr>
          <w:rFonts w:ascii="Arial" w:cs="Arial" w:eastAsia="Arial" w:hAnsi="Arial"/>
          <w:sz w:val="17"/>
          <w:szCs w:val="17"/>
          <w:color w:val="auto"/>
        </w:rPr>
        <w:t>” means any day except a Saturday, Sunday or a legal holiday in The City of New York on which banking institutions are authorized or required by law, regulation or executive order to close.</w:t>
      </w:r>
    </w:p>
    <w:p>
      <w:pPr>
        <w:spacing w:after="0" w:line="171" w:lineRule="exact"/>
        <w:rPr>
          <w:sz w:val="20"/>
          <w:szCs w:val="20"/>
          <w:color w:val="auto"/>
        </w:rPr>
      </w:pPr>
    </w:p>
    <w:p>
      <w:pPr>
        <w:ind w:right="20" w:firstLine="618"/>
        <w:spacing w:after="0" w:line="242" w:lineRule="auto"/>
        <w:rPr>
          <w:sz w:val="20"/>
          <w:szCs w:val="20"/>
          <w:color w:val="auto"/>
        </w:rPr>
      </w:pPr>
      <w:r>
        <w:rPr>
          <w:rFonts w:ascii="Arial" w:cs="Arial" w:eastAsia="Arial" w:hAnsi="Arial"/>
          <w:sz w:val="17"/>
          <w:szCs w:val="17"/>
          <w:color w:val="auto"/>
        </w:rPr>
        <w:t xml:space="preserve">Section 11.17. </w:t>
      </w:r>
      <w:r>
        <w:rPr>
          <w:rFonts w:ascii="Arial" w:cs="Arial" w:eastAsia="Arial" w:hAnsi="Arial"/>
          <w:sz w:val="17"/>
          <w:szCs w:val="17"/>
          <w:i w:val="1"/>
          <w:iCs w:val="1"/>
          <w:color w:val="auto"/>
        </w:rPr>
        <w:t>Acts of Holders</w:t>
      </w:r>
      <w:r>
        <w:rPr>
          <w:rFonts w:ascii="Arial" w:cs="Arial" w:eastAsia="Arial" w:hAnsi="Arial"/>
          <w:sz w:val="17"/>
          <w:szCs w:val="17"/>
          <w:color w:val="auto"/>
        </w:rPr>
        <w:t>. (a)Any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any such record (and the action embodied therein and evidenced thereby) are herein sometimes referred to as the “</w:t>
      </w:r>
      <w:r>
        <w:rPr>
          <w:rFonts w:ascii="Arial" w:cs="Arial" w:eastAsia="Arial" w:hAnsi="Arial"/>
          <w:sz w:val="17"/>
          <w:szCs w:val="17"/>
          <w:b w:val="1"/>
          <w:bCs w:val="1"/>
          <w:color w:val="auto"/>
        </w:rPr>
        <w:t>ACT</w:t>
      </w:r>
      <w:r>
        <w:rPr>
          <w:rFonts w:ascii="Arial" w:cs="Arial" w:eastAsia="Arial" w:hAnsi="Arial"/>
          <w:sz w:val="17"/>
          <w:szCs w:val="17"/>
          <w:color w:val="auto"/>
        </w:rPr>
        <w:t>” of the Holders signing such instrument or instruments and so voting at any such meeting. Proof of execution of any instrument or of a writing appointing any such agent shall be sufficient for any purpose of</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95" w:name="page96"/>
    <w:bookmarkEnd w:id="95"/>
    <w:p>
      <w:pPr>
        <w:ind w:right="240"/>
        <w:spacing w:after="0" w:line="273" w:lineRule="auto"/>
        <w:rPr>
          <w:sz w:val="20"/>
          <w:szCs w:val="20"/>
          <w:color w:val="auto"/>
        </w:rPr>
      </w:pPr>
      <w:r>
        <w:rPr>
          <w:rFonts w:ascii="Arial" w:cs="Arial" w:eastAsia="Arial" w:hAnsi="Arial"/>
          <w:sz w:val="17"/>
          <w:szCs w:val="17"/>
          <w:color w:val="auto"/>
        </w:rPr>
        <w:t>this Indenture and (subject to Sections ‎7.01 and ‎7.02) conclusive in favor of the Trustee and the Company, if made in the manner provided in this ‎Section 11.17.</w:t>
      </w:r>
    </w:p>
    <w:p>
      <w:pPr>
        <w:spacing w:after="0" w:line="135" w:lineRule="exact"/>
        <w:rPr>
          <w:sz w:val="20"/>
          <w:szCs w:val="20"/>
          <w:color w:val="auto"/>
        </w:rPr>
      </w:pPr>
    </w:p>
    <w:p>
      <w:pPr>
        <w:ind w:right="520" w:firstLine="621"/>
        <w:spacing w:after="0" w:line="255" w:lineRule="auto"/>
        <w:tabs>
          <w:tab w:leader="none" w:pos="971"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Subject to Sections 7‎.01 and 7‎.02, the execution of any instrument by a Securityholder or his agent or proxy may be proved in accordance with such reasonable rules and regulations as may be prescribed by the Trustee or in such manner as shall be satisfactory to the Trustee. The holding of Registered Securities shall be proved by the Security register or by a certificate of the registrar thereof.</w:t>
      </w:r>
    </w:p>
    <w:p>
      <w:pPr>
        <w:spacing w:after="0" w:line="149" w:lineRule="exact"/>
        <w:rPr>
          <w:rFonts w:ascii="Arial" w:cs="Arial" w:eastAsia="Arial" w:hAnsi="Arial"/>
          <w:sz w:val="17"/>
          <w:szCs w:val="17"/>
          <w:color w:val="auto"/>
        </w:rPr>
      </w:pPr>
    </w:p>
    <w:p>
      <w:pPr>
        <w:ind w:firstLine="621"/>
        <w:spacing w:after="0"/>
        <w:tabs>
          <w:tab w:leader="none" w:pos="95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 The Company, the Trustee and any agent of the Company or the Trustee may treat the Holder of any Bearer Security as the absolute owner of such Bearer Security (whether or not such Bearer Security shall be overdue) for the purpose of receiving payment thereof or on account thereof and for all other purposes, and neither the Company, the Trustee, nor any agent of the Company or the Trustee shall be affected by any notice to the contrary. All such payments so made to any such person, or upon his order, shall be valid, and, to the extent of the sum or sums so paid, effectual to satisfy and discharge the liability for moneys payable upon any such Bearer Security. Notwithstanding the foregoing, nothing herein shall prevent the Company, the Trustee or any Agent from giving effect to any written certification, proxy or other authorization furnished by the Depositary or impair, as between the Depositary and its members, the operation of customary practices governing the exercise of the rights of a holder of a beneficial interest in any Registered Global Security.</w:t>
      </w:r>
    </w:p>
    <w:p>
      <w:pPr>
        <w:spacing w:after="0" w:line="165" w:lineRule="exact"/>
        <w:rPr>
          <w:rFonts w:ascii="Arial" w:cs="Arial" w:eastAsia="Arial" w:hAnsi="Arial"/>
          <w:sz w:val="17"/>
          <w:szCs w:val="17"/>
          <w:color w:val="auto"/>
        </w:rPr>
      </w:pPr>
    </w:p>
    <w:p>
      <w:pPr>
        <w:ind w:firstLine="621"/>
        <w:spacing w:after="0" w:line="241" w:lineRule="auto"/>
        <w:tabs>
          <w:tab w:leader="none" w:pos="961"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any time prior to (but not after) the evidencing to the Trustee, as provided in this Section‎ 11.17,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Company, the Trustee and the Holders of all the Securities affected by such action.</w:t>
      </w:r>
    </w:p>
    <w:p>
      <w:pPr>
        <w:spacing w:after="0" w:line="162" w:lineRule="exact"/>
        <w:rPr>
          <w:sz w:val="20"/>
          <w:szCs w:val="20"/>
          <w:color w:val="auto"/>
        </w:rPr>
      </w:pPr>
    </w:p>
    <w:p>
      <w:pPr>
        <w:ind w:right="140" w:firstLine="618"/>
        <w:spacing w:after="0" w:line="244" w:lineRule="auto"/>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i w:val="1"/>
          <w:iCs w:val="1"/>
          <w:color w:val="auto"/>
        </w:rPr>
        <w:t>Force Majeure</w:t>
      </w:r>
      <w:r>
        <w:rPr>
          <w:rFonts w:ascii="Arial" w:cs="Arial" w:eastAsia="Arial" w:hAnsi="Arial"/>
          <w:sz w:val="17"/>
          <w:szCs w:val="17"/>
          <w:color w:val="auto"/>
        </w:rPr>
        <w:t>. In no event shall the Trustee or any Agent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and such Agent shall use reasonable efforts that are consistent with accepted practices in the banking industry to resume performance as soon as practicable under the circumstances.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12</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inking</w:t>
      </w:r>
      <w:r>
        <w:rPr>
          <w:rFonts w:ascii="Arial" w:cs="Arial" w:eastAsia="Arial" w:hAnsi="Arial"/>
          <w:sz w:val="17"/>
          <w:szCs w:val="17"/>
          <w:color w:val="auto"/>
        </w:rPr>
        <w:t xml:space="preserve"> F</w:t>
      </w:r>
      <w:r>
        <w:rPr>
          <w:rFonts w:ascii="Arial" w:cs="Arial" w:eastAsia="Arial" w:hAnsi="Arial"/>
          <w:sz w:val="11"/>
          <w:szCs w:val="11"/>
          <w:color w:val="auto"/>
        </w:rPr>
        <w:t>unds</w:t>
      </w:r>
    </w:p>
    <w:p>
      <w:pPr>
        <w:spacing w:after="0" w:line="175" w:lineRule="exact"/>
        <w:rPr>
          <w:sz w:val="20"/>
          <w:szCs w:val="20"/>
          <w:color w:val="auto"/>
        </w:rPr>
      </w:pPr>
    </w:p>
    <w:p>
      <w:pPr>
        <w:ind w:right="720" w:firstLine="618"/>
        <w:spacing w:after="0" w:line="273"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i w:val="1"/>
          <w:iCs w:val="1"/>
          <w:color w:val="auto"/>
        </w:rPr>
        <w:t>Applicability of Article</w:t>
      </w:r>
      <w:r>
        <w:rPr>
          <w:rFonts w:ascii="Arial" w:cs="Arial" w:eastAsia="Arial" w:hAnsi="Arial"/>
          <w:sz w:val="17"/>
          <w:szCs w:val="17"/>
          <w:color w:val="auto"/>
        </w:rPr>
        <w:t>. The provisions of this Article shall be applicable to any sinking fund for the retirement of the Securities of a Series, except as otherwise permitted or required by any form of Security of such Series issued pursuant to this Indenture.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96" w:name="page97"/>
    <w:bookmarkEnd w:id="96"/>
    <w:p>
      <w:pPr>
        <w:ind w:right="20" w:firstLine="618"/>
        <w:spacing w:after="0" w:line="246" w:lineRule="auto"/>
        <w:rPr>
          <w:sz w:val="20"/>
          <w:szCs w:val="20"/>
          <w:color w:val="auto"/>
        </w:rPr>
      </w:pPr>
      <w:r>
        <w:rPr>
          <w:rFonts w:ascii="Arial" w:cs="Arial" w:eastAsia="Arial" w:hAnsi="Arial"/>
          <w:sz w:val="17"/>
          <w:szCs w:val="17"/>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the Securities of such Series.</w:t>
      </w:r>
    </w:p>
    <w:p>
      <w:pPr>
        <w:spacing w:after="0" w:line="157" w:lineRule="exact"/>
        <w:rPr>
          <w:sz w:val="20"/>
          <w:szCs w:val="20"/>
          <w:color w:val="auto"/>
        </w:rPr>
      </w:pPr>
    </w:p>
    <w:p>
      <w:pPr>
        <w:ind w:right="20" w:firstLine="618"/>
        <w:spacing w:after="0" w:line="239"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i w:val="1"/>
          <w:iCs w:val="1"/>
          <w:color w:val="auto"/>
        </w:rPr>
        <w:t>Satisfaction of Sinking Fund Payments with Securities</w:t>
      </w:r>
      <w:r>
        <w:rPr>
          <w:rFonts w:ascii="Arial" w:cs="Arial" w:eastAsia="Arial" w:hAnsi="Arial"/>
          <w:sz w:val="17"/>
          <w:szCs w:val="17"/>
          <w:color w:val="auto"/>
        </w:rPr>
        <w:t>. The Company may, in satisfaction of all or any part of any sinking fund payment with respect to the Securities of any Series to be made pursuant to the terms of such Securities (a) deliver outstanding Securities of such Series to which such sinking fund payment is applicable (other than any of such Securities previously called for mandatory sinking fund redemption) and (b)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12.02,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9" w:lineRule="exact"/>
        <w:rPr>
          <w:sz w:val="20"/>
          <w:szCs w:val="20"/>
          <w:color w:val="auto"/>
        </w:rPr>
      </w:pPr>
    </w:p>
    <w:p>
      <w:pPr>
        <w:ind w:right="40" w:firstLine="618"/>
        <w:spacing w:after="0" w:line="23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i w:val="1"/>
          <w:iCs w:val="1"/>
          <w:color w:val="auto"/>
        </w:rPr>
        <w:t>Redemption of Securities for Sinking Fund</w:t>
      </w:r>
      <w:r>
        <w:rPr>
          <w:rFonts w:ascii="Arial" w:cs="Arial" w:eastAsia="Arial" w:hAnsi="Arial"/>
          <w:sz w:val="17"/>
          <w:szCs w:val="17"/>
          <w:color w:val="auto"/>
        </w:rPr>
        <w:t>. 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day and year first above written.</w:t>
      </w:r>
    </w:p>
    <w:p>
      <w:pPr>
        <w:spacing w:after="0" w:line="19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GH Research PLC</w:t>
      </w:r>
    </w:p>
    <w:p>
      <w:pPr>
        <w:spacing w:after="0" w:line="19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9525</wp:posOffset>
            </wp:positionV>
            <wp:extent cx="32791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w:t>
      </w:r>
    </w:p>
    <w:p>
      <w:pPr>
        <w:ind w:left="5460"/>
        <w:spacing w:after="0"/>
        <w:rPr>
          <w:sz w:val="20"/>
          <w:szCs w:val="20"/>
          <w:color w:val="auto"/>
        </w:rPr>
      </w:pPr>
      <w:r>
        <w:rPr>
          <w:rFonts w:ascii="Arial" w:cs="Arial" w:eastAsia="Arial" w:hAnsi="Arial"/>
          <w:sz w:val="17"/>
          <w:szCs w:val="17"/>
          <w:color w:val="auto"/>
        </w:rPr>
        <w:t>Title:</w:t>
      </w:r>
    </w:p>
    <w:p>
      <w:pPr>
        <w:spacing w:after="0" w:line="368"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[___], as Trustee</w:t>
      </w:r>
    </w:p>
    <w:p>
      <w:pPr>
        <w:spacing w:after="0" w:line="19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9525</wp:posOffset>
            </wp:positionV>
            <wp:extent cx="3279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w:t>
      </w:r>
    </w:p>
    <w:p>
      <w:pPr>
        <w:ind w:left="54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211455</wp:posOffset>
            </wp:positionV>
            <wp:extent cx="71386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80"/>
          </w:cols>
          <w:pgMar w:left="940" w:top="522" w:right="779" w:bottom="1440" w:gutter="0" w:footer="0" w:header="0"/>
        </w:sectPr>
      </w:pPr>
    </w:p>
    <w:bookmarkStart w:id="98" w:name="page99"/>
    <w:bookmarkEnd w:id="98"/>
    <w:tbl>
      <w:tblPr>
        <w:tblLayout w:type="fixed"/>
        <w:tblInd w:w="518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7"/>
                <w:szCs w:val="17"/>
                <w:b w:val="1"/>
                <w:bCs w:val="1"/>
                <w:color w:val="auto"/>
              </w:rPr>
              <w:t>Exhibit 5.1</w:t>
            </w:r>
          </w:p>
        </w:tc>
      </w:tr>
      <w:tr>
        <w:trPr>
          <w:trHeight w:val="618"/>
        </w:trPr>
        <w:tc>
          <w:tcPr>
            <w:tcW w:w="3900" w:type="dxa"/>
            <w:vAlign w:val="bottom"/>
          </w:tcPr>
          <w:p>
            <w:pPr>
              <w:spacing w:after="0"/>
              <w:rPr>
                <w:sz w:val="20"/>
                <w:szCs w:val="20"/>
                <w:color w:val="auto"/>
              </w:rPr>
            </w:pPr>
            <w:r>
              <w:rPr>
                <w:rFonts w:ascii="Arial" w:cs="Arial" w:eastAsia="Arial" w:hAnsi="Arial"/>
                <w:sz w:val="17"/>
                <w:szCs w:val="17"/>
                <w:b w:val="1"/>
                <w:bCs w:val="1"/>
                <w:color w:val="333333"/>
              </w:rPr>
              <w:t>A&amp;L Goodbody Solicitors</w:t>
            </w:r>
          </w:p>
        </w:tc>
        <w:tc>
          <w:tcPr>
            <w:tcW w:w="2160" w:type="dxa"/>
            <w:vAlign w:val="bottom"/>
          </w:tcPr>
          <w:p>
            <w:pPr>
              <w:jc w:val="right"/>
              <w:spacing w:after="0"/>
              <w:rPr>
                <w:sz w:val="20"/>
                <w:szCs w:val="20"/>
                <w:color w:val="auto"/>
              </w:rPr>
            </w:pPr>
            <w:r>
              <w:rPr>
                <w:rFonts w:ascii="Arial" w:cs="Arial" w:eastAsia="Arial" w:hAnsi="Arial"/>
                <w:sz w:val="17"/>
                <w:szCs w:val="17"/>
                <w:color w:val="333333"/>
              </w:rPr>
              <w:t>Dublin</w:t>
            </w:r>
          </w:p>
        </w:tc>
      </w:tr>
      <w:tr>
        <w:trPr>
          <w:trHeight w:val="370"/>
        </w:trPr>
        <w:tc>
          <w:tcPr>
            <w:tcW w:w="3900" w:type="dxa"/>
            <w:vAlign w:val="bottom"/>
          </w:tcPr>
          <w:p>
            <w:pPr>
              <w:spacing w:after="0"/>
              <w:rPr>
                <w:sz w:val="20"/>
                <w:szCs w:val="20"/>
                <w:color w:val="auto"/>
              </w:rPr>
            </w:pPr>
            <w:r>
              <w:rPr>
                <w:rFonts w:ascii="Arial" w:cs="Arial" w:eastAsia="Arial" w:hAnsi="Arial"/>
                <w:sz w:val="17"/>
                <w:szCs w:val="17"/>
                <w:color w:val="333333"/>
              </w:rPr>
              <w:t>3 Dublin Landings</w:t>
            </w:r>
          </w:p>
        </w:tc>
        <w:tc>
          <w:tcPr>
            <w:tcW w:w="2160" w:type="dxa"/>
            <w:vAlign w:val="bottom"/>
          </w:tcPr>
          <w:p>
            <w:pPr>
              <w:jc w:val="right"/>
              <w:spacing w:after="0"/>
              <w:rPr>
                <w:sz w:val="20"/>
                <w:szCs w:val="20"/>
                <w:color w:val="auto"/>
              </w:rPr>
            </w:pPr>
            <w:r>
              <w:rPr>
                <w:rFonts w:ascii="Arial" w:cs="Arial" w:eastAsia="Arial" w:hAnsi="Arial"/>
                <w:sz w:val="17"/>
                <w:szCs w:val="17"/>
                <w:color w:val="333333"/>
              </w:rPr>
              <w:t>Belfast</w:t>
            </w:r>
          </w:p>
        </w:tc>
      </w:tr>
      <w:tr>
        <w:trPr>
          <w:trHeight w:val="193"/>
        </w:trPr>
        <w:tc>
          <w:tcPr>
            <w:tcW w:w="3900" w:type="dxa"/>
            <w:vAlign w:val="bottom"/>
          </w:tcPr>
          <w:p>
            <w:pPr>
              <w:spacing w:after="0" w:line="194" w:lineRule="exact"/>
              <w:rPr>
                <w:sz w:val="20"/>
                <w:szCs w:val="20"/>
                <w:color w:val="auto"/>
              </w:rPr>
            </w:pPr>
            <w:r>
              <w:rPr>
                <w:rFonts w:ascii="Arial" w:cs="Arial" w:eastAsia="Arial" w:hAnsi="Arial"/>
                <w:sz w:val="17"/>
                <w:szCs w:val="17"/>
                <w:color w:val="333333"/>
              </w:rPr>
              <w:t>North Wall Quay, Dublin 1</w:t>
            </w:r>
          </w:p>
        </w:tc>
        <w:tc>
          <w:tcPr>
            <w:tcW w:w="2160" w:type="dxa"/>
            <w:vAlign w:val="bottom"/>
          </w:tcPr>
          <w:p>
            <w:pPr>
              <w:jc w:val="right"/>
              <w:spacing w:after="0" w:line="194" w:lineRule="exact"/>
              <w:rPr>
                <w:sz w:val="20"/>
                <w:szCs w:val="20"/>
                <w:color w:val="auto"/>
              </w:rPr>
            </w:pPr>
            <w:r>
              <w:rPr>
                <w:rFonts w:ascii="Arial" w:cs="Arial" w:eastAsia="Arial" w:hAnsi="Arial"/>
                <w:sz w:val="17"/>
                <w:szCs w:val="17"/>
                <w:color w:val="333333"/>
              </w:rPr>
              <w:t>London</w:t>
            </w:r>
          </w:p>
        </w:tc>
      </w:tr>
      <w:tr>
        <w:trPr>
          <w:trHeight w:val="193"/>
        </w:trPr>
        <w:tc>
          <w:tcPr>
            <w:tcW w:w="3900" w:type="dxa"/>
            <w:vAlign w:val="bottom"/>
          </w:tcPr>
          <w:p>
            <w:pPr>
              <w:spacing w:after="0" w:line="194" w:lineRule="exact"/>
              <w:rPr>
                <w:sz w:val="20"/>
                <w:szCs w:val="20"/>
                <w:color w:val="auto"/>
              </w:rPr>
            </w:pPr>
            <w:r>
              <w:rPr>
                <w:rFonts w:ascii="Arial" w:cs="Arial" w:eastAsia="Arial" w:hAnsi="Arial"/>
                <w:sz w:val="17"/>
                <w:szCs w:val="17"/>
                <w:color w:val="333333"/>
              </w:rPr>
              <w:t>D01 C4E0</w:t>
            </w:r>
          </w:p>
        </w:tc>
        <w:tc>
          <w:tcPr>
            <w:tcW w:w="2160" w:type="dxa"/>
            <w:vAlign w:val="bottom"/>
          </w:tcPr>
          <w:p>
            <w:pPr>
              <w:jc w:val="right"/>
              <w:spacing w:after="0" w:line="194" w:lineRule="exact"/>
              <w:rPr>
                <w:sz w:val="20"/>
                <w:szCs w:val="20"/>
                <w:color w:val="auto"/>
              </w:rPr>
            </w:pPr>
            <w:r>
              <w:rPr>
                <w:rFonts w:ascii="Arial" w:cs="Arial" w:eastAsia="Arial" w:hAnsi="Arial"/>
                <w:sz w:val="17"/>
                <w:szCs w:val="17"/>
                <w:color w:val="333333"/>
              </w:rPr>
              <w:t>New York</w:t>
            </w:r>
          </w:p>
        </w:tc>
      </w:tr>
      <w:tr>
        <w:trPr>
          <w:trHeight w:val="193"/>
        </w:trPr>
        <w:tc>
          <w:tcPr>
            <w:tcW w:w="3900" w:type="dxa"/>
            <w:vAlign w:val="bottom"/>
          </w:tcPr>
          <w:p>
            <w:pPr>
              <w:spacing w:after="0" w:line="194" w:lineRule="exact"/>
              <w:rPr>
                <w:sz w:val="20"/>
                <w:szCs w:val="20"/>
                <w:color w:val="auto"/>
              </w:rPr>
            </w:pPr>
            <w:r>
              <w:rPr>
                <w:rFonts w:ascii="Arial" w:cs="Arial" w:eastAsia="Arial" w:hAnsi="Arial"/>
                <w:sz w:val="17"/>
                <w:szCs w:val="17"/>
                <w:color w:val="333333"/>
              </w:rPr>
              <w:t>T +353 1 649 2000</w:t>
            </w:r>
          </w:p>
        </w:tc>
        <w:tc>
          <w:tcPr>
            <w:tcW w:w="2160" w:type="dxa"/>
            <w:vAlign w:val="bottom"/>
          </w:tcPr>
          <w:p>
            <w:pPr>
              <w:jc w:val="right"/>
              <w:spacing w:after="0" w:line="194" w:lineRule="exact"/>
              <w:rPr>
                <w:sz w:val="20"/>
                <w:szCs w:val="20"/>
                <w:color w:val="auto"/>
              </w:rPr>
            </w:pPr>
            <w:r>
              <w:rPr>
                <w:rFonts w:ascii="Arial" w:cs="Arial" w:eastAsia="Arial" w:hAnsi="Arial"/>
                <w:sz w:val="17"/>
                <w:szCs w:val="17"/>
                <w:color w:val="333333"/>
              </w:rPr>
              <w:t>San Francisco</w:t>
            </w:r>
          </w:p>
        </w:tc>
      </w:tr>
      <w:tr>
        <w:trPr>
          <w:trHeight w:val="225"/>
        </w:trPr>
        <w:tc>
          <w:tcPr>
            <w:tcW w:w="3900" w:type="dxa"/>
            <w:vAlign w:val="bottom"/>
          </w:tcPr>
          <w:p>
            <w:pPr>
              <w:spacing w:after="0"/>
              <w:rPr>
                <w:sz w:val="20"/>
                <w:szCs w:val="20"/>
                <w:color w:val="auto"/>
              </w:rPr>
            </w:pPr>
            <w:r>
              <w:rPr>
                <w:rFonts w:ascii="Arial" w:cs="Arial" w:eastAsia="Arial" w:hAnsi="Arial"/>
                <w:sz w:val="17"/>
                <w:szCs w:val="17"/>
                <w:color w:val="333333"/>
              </w:rPr>
              <w:t>Dx: 29 Dublin | www.algoodbody.com</w:t>
            </w:r>
          </w:p>
        </w:tc>
        <w:tc>
          <w:tcPr>
            <w:tcW w:w="2160" w:type="dxa"/>
            <w:vAlign w:val="bottom"/>
          </w:tcPr>
          <w:p>
            <w:pPr>
              <w:jc w:val="right"/>
              <w:spacing w:after="0"/>
              <w:rPr>
                <w:sz w:val="20"/>
                <w:szCs w:val="20"/>
                <w:color w:val="auto"/>
              </w:rPr>
            </w:pPr>
            <w:r>
              <w:rPr>
                <w:rFonts w:ascii="Arial" w:cs="Arial" w:eastAsia="Arial" w:hAnsi="Arial"/>
                <w:sz w:val="17"/>
                <w:szCs w:val="17"/>
                <w:color w:val="333333"/>
              </w:rPr>
              <w:t>Palo Alto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-883920</wp:posOffset>
            </wp:positionV>
            <wp:extent cx="8255" cy="875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8255" cy="875030"/>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-883920</wp:posOffset>
            </wp:positionV>
            <wp:extent cx="1512570" cy="236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1512570" cy="2368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Arial" w:cs="Arial" w:eastAsia="Arial" w:hAnsi="Arial"/>
                <w:sz w:val="17"/>
                <w:szCs w:val="17"/>
                <w:color w:val="333333"/>
              </w:rPr>
              <w:t>Date</w:t>
            </w:r>
          </w:p>
        </w:tc>
        <w:tc>
          <w:tcPr>
            <w:tcW w:w="20" w:type="dxa"/>
            <w:vAlign w:val="bottom"/>
            <w:shd w:val="clear" w:color="auto" w:fill="1A1A1A"/>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w w:val="98"/>
              </w:rPr>
              <w:t>9 March 2023</w:t>
            </w:r>
          </w:p>
        </w:tc>
        <w:tc>
          <w:tcPr>
            <w:tcW w:w="0" w:type="dxa"/>
            <w:vAlign w:val="bottom"/>
          </w:tcPr>
          <w:p>
            <w:pPr>
              <w:spacing w:after="0"/>
              <w:rPr>
                <w:sz w:val="1"/>
                <w:szCs w:val="1"/>
                <w:color w:val="auto"/>
              </w:rPr>
            </w:pPr>
          </w:p>
        </w:tc>
      </w:tr>
      <w:tr>
        <w:trPr>
          <w:trHeight w:val="193"/>
        </w:trPr>
        <w:tc>
          <w:tcPr>
            <w:tcW w:w="1020" w:type="dxa"/>
            <w:vAlign w:val="bottom"/>
            <w:vMerge w:val="restart"/>
          </w:tcPr>
          <w:p>
            <w:pPr>
              <w:spacing w:after="0"/>
              <w:rPr>
                <w:sz w:val="20"/>
                <w:szCs w:val="20"/>
                <w:color w:val="auto"/>
              </w:rPr>
            </w:pPr>
            <w:r>
              <w:rPr>
                <w:rFonts w:ascii="Arial" w:cs="Arial" w:eastAsia="Arial" w:hAnsi="Arial"/>
                <w:sz w:val="17"/>
                <w:szCs w:val="17"/>
                <w:color w:val="333333"/>
              </w:rPr>
              <w:t>Our Ref</w:t>
            </w:r>
          </w:p>
        </w:tc>
        <w:tc>
          <w:tcPr>
            <w:tcW w:w="20" w:type="dxa"/>
            <w:vAlign w:val="bottom"/>
          </w:tcPr>
          <w:p>
            <w:pPr>
              <w:spacing w:after="0"/>
              <w:rPr>
                <w:sz w:val="16"/>
                <w:szCs w:val="16"/>
                <w:color w:val="auto"/>
              </w:rPr>
            </w:pPr>
          </w:p>
        </w:tc>
        <w:tc>
          <w:tcPr>
            <w:tcW w:w="1140" w:type="dxa"/>
            <w:vAlign w:val="bottom"/>
            <w:vMerge w:val="restart"/>
          </w:tcPr>
          <w:p>
            <w:pPr>
              <w:ind w:left="100"/>
              <w:spacing w:after="0"/>
              <w:rPr>
                <w:sz w:val="20"/>
                <w:szCs w:val="20"/>
                <w:color w:val="auto"/>
              </w:rPr>
            </w:pPr>
            <w:r>
              <w:rPr>
                <w:rFonts w:ascii="Arial" w:cs="Arial" w:eastAsia="Arial" w:hAnsi="Arial"/>
                <w:sz w:val="17"/>
                <w:szCs w:val="17"/>
                <w:color w:val="auto"/>
              </w:rPr>
              <w:t>01437848</w:t>
            </w:r>
          </w:p>
        </w:tc>
        <w:tc>
          <w:tcPr>
            <w:tcW w:w="0" w:type="dxa"/>
            <w:vAlign w:val="bottom"/>
          </w:tcPr>
          <w:p>
            <w:pPr>
              <w:spacing w:after="0"/>
              <w:rPr>
                <w:sz w:val="1"/>
                <w:szCs w:val="1"/>
                <w:color w:val="auto"/>
              </w:rPr>
            </w:pPr>
          </w:p>
        </w:tc>
      </w:tr>
      <w:tr>
        <w:trPr>
          <w:trHeight w:val="193"/>
        </w:trPr>
        <w:tc>
          <w:tcPr>
            <w:tcW w:w="1020" w:type="dxa"/>
            <w:vAlign w:val="bottom"/>
            <w:vMerge w:val="continue"/>
          </w:tcPr>
          <w:p>
            <w:pPr>
              <w:spacing w:after="0"/>
              <w:rPr>
                <w:sz w:val="16"/>
                <w:szCs w:val="16"/>
                <w:color w:val="auto"/>
              </w:rPr>
            </w:pPr>
          </w:p>
        </w:tc>
        <w:tc>
          <w:tcPr>
            <w:tcW w:w="20" w:type="dxa"/>
            <w:vAlign w:val="bottom"/>
            <w:shd w:val="clear" w:color="auto" w:fill="1A1A1A"/>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GH Research plc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Joshua Dawson House</w:t>
      </w:r>
    </w:p>
    <w:p>
      <w:pPr>
        <w:spacing w:after="0" w:line="237" w:lineRule="auto"/>
        <w:rPr>
          <w:sz w:val="20"/>
          <w:szCs w:val="20"/>
          <w:color w:val="auto"/>
        </w:rPr>
      </w:pPr>
      <w:r>
        <w:rPr>
          <w:rFonts w:ascii="Arial" w:cs="Arial" w:eastAsia="Arial" w:hAnsi="Arial"/>
          <w:sz w:val="17"/>
          <w:szCs w:val="17"/>
          <w:color w:val="auto"/>
        </w:rPr>
        <w:t>Dawson Street</w:t>
      </w:r>
    </w:p>
    <w:p>
      <w:pPr>
        <w:spacing w:after="0" w:line="237" w:lineRule="auto"/>
        <w:rPr>
          <w:sz w:val="20"/>
          <w:szCs w:val="20"/>
          <w:color w:val="auto"/>
        </w:rPr>
      </w:pPr>
      <w:r>
        <w:rPr>
          <w:rFonts w:ascii="Arial" w:cs="Arial" w:eastAsia="Arial" w:hAnsi="Arial"/>
          <w:sz w:val="17"/>
          <w:szCs w:val="17"/>
          <w:color w:val="auto"/>
        </w:rPr>
        <w:t>Dublin 2</w:t>
      </w:r>
    </w:p>
    <w:p>
      <w:pPr>
        <w:spacing w:after="0" w:line="237" w:lineRule="auto"/>
        <w:rPr>
          <w:sz w:val="20"/>
          <w:szCs w:val="20"/>
          <w:color w:val="auto"/>
        </w:rPr>
      </w:pPr>
      <w:r>
        <w:rPr>
          <w:rFonts w:ascii="Arial" w:cs="Arial" w:eastAsia="Arial" w:hAnsi="Arial"/>
          <w:sz w:val="17"/>
          <w:szCs w:val="17"/>
          <w:color w:val="auto"/>
        </w:rPr>
        <w:t>D02 RY95</w:t>
      </w:r>
    </w:p>
    <w:p>
      <w:pPr>
        <w:spacing w:after="0"/>
        <w:rPr>
          <w:sz w:val="20"/>
          <w:szCs w:val="20"/>
          <w:color w:val="auto"/>
        </w:rPr>
      </w:pPr>
      <w:r>
        <w:rPr>
          <w:rFonts w:ascii="Arial" w:cs="Arial" w:eastAsia="Arial" w:hAnsi="Arial"/>
          <w:sz w:val="17"/>
          <w:szCs w:val="17"/>
          <w:color w:val="auto"/>
        </w:rPr>
        <w:t>Ireland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GH Research plc </w:t>
      </w:r>
      <w:r>
        <w:rPr>
          <w:rFonts w:ascii="Arial" w:cs="Arial" w:eastAsia="Arial" w:hAnsi="Arial"/>
          <w:sz w:val="17"/>
          <w:szCs w:val="17"/>
          <w:color w:val="auto"/>
        </w:rPr>
        <w:t>(the</w:t>
      </w:r>
      <w:r>
        <w:rPr>
          <w:rFonts w:ascii="Arial" w:cs="Arial" w:eastAsia="Arial" w:hAnsi="Arial"/>
          <w:sz w:val="17"/>
          <w:szCs w:val="17"/>
          <w:b w:val="1"/>
          <w:bCs w:val="1"/>
          <w:color w:val="auto"/>
        </w:rPr>
        <w:t xml:space="preserve"> Company</w:t>
      </w:r>
      <w:r>
        <w:rPr>
          <w:rFonts w:ascii="Arial" w:cs="Arial" w:eastAsia="Arial" w:hAnsi="Arial"/>
          <w:sz w:val="17"/>
          <w:szCs w:val="17"/>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Statement on Form F-3 - Exhibit 5.1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We are acting as Irish counsel to the Company, a public limited company incorporated under the laws of Ireland (registered number 691405), in connection with the filing of a registration statement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on Form F-3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xml:space="preserve">), pursuant to which we understand that the Company will register the offering, issuance and sale by the Company, from time to time, of up to $200,000,000 of the Company's securities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which may include ordinary shares in the capital of the Company with a nominal value of $0.025 each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debt securities of the Company (the </w:t>
      </w:r>
      <w:r>
        <w:rPr>
          <w:rFonts w:ascii="Arial" w:cs="Arial" w:eastAsia="Arial" w:hAnsi="Arial"/>
          <w:sz w:val="17"/>
          <w:szCs w:val="17"/>
          <w:b w:val="1"/>
          <w:bCs w:val="1"/>
          <w:color w:val="auto"/>
        </w:rPr>
        <w:t>Debt Securities</w:t>
      </w:r>
      <w:r>
        <w:rPr>
          <w:rFonts w:ascii="Arial" w:cs="Arial" w:eastAsia="Arial" w:hAnsi="Arial"/>
          <w:sz w:val="17"/>
          <w:szCs w:val="17"/>
          <w:color w:val="auto"/>
        </w:rPr>
        <w:t xml:space="preserve">), warrants to purchase the Shares or the Debt Securities (the </w:t>
      </w:r>
      <w:r>
        <w:rPr>
          <w:rFonts w:ascii="Arial" w:cs="Arial" w:eastAsia="Arial" w:hAnsi="Arial"/>
          <w:sz w:val="17"/>
          <w:szCs w:val="17"/>
          <w:b w:val="1"/>
          <w:bCs w:val="1"/>
          <w:color w:val="auto"/>
        </w:rPr>
        <w:t>Warrants</w:t>
      </w:r>
      <w:r>
        <w:rPr>
          <w:rFonts w:ascii="Arial" w:cs="Arial" w:eastAsia="Arial" w:hAnsi="Arial"/>
          <w:sz w:val="17"/>
          <w:szCs w:val="17"/>
          <w:color w:val="auto"/>
        </w:rPr>
        <w:t xml:space="preserve">), subscription rights to purchase the Securities (the </w:t>
      </w:r>
      <w:r>
        <w:rPr>
          <w:rFonts w:ascii="Arial" w:cs="Arial" w:eastAsia="Arial" w:hAnsi="Arial"/>
          <w:sz w:val="17"/>
          <w:szCs w:val="17"/>
          <w:b w:val="1"/>
          <w:bCs w:val="1"/>
          <w:color w:val="auto"/>
        </w:rPr>
        <w:t>Subscription Rights</w:t>
      </w:r>
      <w:r>
        <w:rPr>
          <w:rFonts w:ascii="Arial" w:cs="Arial" w:eastAsia="Arial" w:hAnsi="Arial"/>
          <w:sz w:val="17"/>
          <w:szCs w:val="17"/>
          <w:color w:val="auto"/>
        </w:rPr>
        <w:t>) and units consisting of any combination of Shares, Debt Securities, Warrants or any combination of such Securities (the</w:t>
      </w:r>
      <w:r>
        <w:rPr>
          <w:rFonts w:ascii="Arial" w:cs="Arial" w:eastAsia="Arial" w:hAnsi="Arial"/>
          <w:sz w:val="17"/>
          <w:szCs w:val="17"/>
          <w:b w:val="1"/>
          <w:bCs w:val="1"/>
          <w:color w:val="auto"/>
        </w:rPr>
        <w:t xml:space="preserve"> Units</w:t>
      </w:r>
      <w:r>
        <w:rPr>
          <w:rFonts w:ascii="Arial" w:cs="Arial" w:eastAsia="Arial" w:hAnsi="Arial"/>
          <w:sz w:val="17"/>
          <w:szCs w:val="17"/>
          <w:color w:val="auto"/>
        </w:rPr>
        <w:t>), pursuant to the terms of the Registration Statement, the prospectus contained therein and any amendments or supplements thereto.</w:t>
      </w:r>
    </w:p>
    <w:p>
      <w:pPr>
        <w:spacing w:after="0" w:line="149" w:lineRule="exact"/>
        <w:rPr>
          <w:sz w:val="20"/>
          <w:szCs w:val="20"/>
          <w:color w:val="auto"/>
        </w:rPr>
      </w:pPr>
    </w:p>
    <w:p>
      <w:pPr>
        <w:ind w:right="4840" w:firstLine="3"/>
        <w:spacing w:after="0" w:line="474" w:lineRule="auto"/>
        <w:tabs>
          <w:tab w:leader="none" w:pos="5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connection with this Opinion, we have examined and relied upon copies of: 1.1 the Registration Statement; and</w:t>
      </w:r>
    </w:p>
    <w:p>
      <w:pPr>
        <w:spacing w:after="0"/>
        <w:rPr>
          <w:rFonts w:ascii="Arial" w:cs="Arial" w:eastAsia="Arial" w:hAnsi="Arial"/>
          <w:sz w:val="17"/>
          <w:szCs w:val="17"/>
          <w:color w:val="auto"/>
        </w:rPr>
      </w:pPr>
      <w:r>
        <w:rPr>
          <w:rFonts w:ascii="Arial" w:cs="Arial" w:eastAsia="Arial" w:hAnsi="Arial"/>
          <w:sz w:val="17"/>
          <w:szCs w:val="17"/>
          <w:color w:val="auto"/>
        </w:rPr>
        <w:t>1.2   such corporate records of the Company as we have deemed necessary as a basis for the opinions hereinafter expressed.</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rendering this Opinion, we have examined, and have assumed the truth and accuracy of the contents of, all such corporate records, documents and certificates of officers of the Company and of public officials as to factual matters and have conducted such searches on 9 March 2023 (being the last practicable date on which searches could be conducted) in public registries in Ireland as we have deemed necessary or appropriate for the purposes of this Opinion but have made no independent investigation regarding such factual matters. In our examination we have assumed the (continued) truth and accuracy of the information contained in such documents, the genuineness of all signatures (electronic or otherwise), that any signatures (electronic or otherwise) are the signatures of the persons who they purport to be, the authenticity of all documents submitted to us as originals, the conformity to original documents of all documents submitted to us as certified or photostatic copies and the authenticity of the originals of such documents.</w:t>
      </w:r>
    </w:p>
    <w:p>
      <w:pPr>
        <w:spacing w:after="0" w:line="162" w:lineRule="exact"/>
        <w:rPr>
          <w:sz w:val="20"/>
          <w:szCs w:val="20"/>
          <w:color w:val="auto"/>
        </w:rPr>
      </w:pPr>
    </w:p>
    <w:p>
      <w:pPr>
        <w:ind w:left="540" w:hanging="537"/>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have further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71386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spacing w:after="0" w:line="257" w:lineRule="auto"/>
        <w:rPr>
          <w:sz w:val="20"/>
          <w:szCs w:val="20"/>
          <w:color w:val="auto"/>
        </w:rPr>
      </w:pPr>
      <w:r>
        <w:rPr>
          <w:rFonts w:ascii="Arial" w:cs="Arial" w:eastAsia="Arial" w:hAnsi="Arial"/>
          <w:sz w:val="13"/>
          <w:szCs w:val="13"/>
          <w:color w:val="4D4D4D"/>
        </w:rPr>
        <w:t>CE Gill • JG Grennan • PD White • VJ Power • LA Kennedy • SM Doggett • B McDermott • S O’Riordan • M Sherlock • KP Allen • C Rogers • G O’Toole • JN Kelly • N O’Sullivan MJ Ward • AC Burke • D Widger • C Christle • S Ó Cróinin • DR Baxter • A McCarthy • JF Whelan • JB Somerville • MF Barr • AM Curran • A Roberts • RM Moore • D Main • J Cahir</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4"/>
          <w:szCs w:val="14"/>
          <w:color w:val="4D4D4D"/>
        </w:rPr>
        <w:t>M Traynor • PM Murray • P Walker • K Furlong • PT Fahy • D Inverarity • M Coghlan • DR Francis • A Casey • B Hosty • M O’Brien • L Mulleady • K Ryan • E Hurley • D Dagostino • R Grey</w:t>
      </w:r>
    </w:p>
    <w:p>
      <w:pPr>
        <w:spacing w:after="0" w:line="231" w:lineRule="auto"/>
        <w:rPr>
          <w:sz w:val="20"/>
          <w:szCs w:val="20"/>
          <w:color w:val="auto"/>
        </w:rPr>
      </w:pPr>
      <w:r>
        <w:rPr>
          <w:rFonts w:ascii="Arial" w:cs="Arial" w:eastAsia="Arial" w:hAnsi="Arial"/>
          <w:sz w:val="14"/>
          <w:szCs w:val="14"/>
          <w:color w:val="4D4D4D"/>
        </w:rPr>
        <w:t>R Lyons • J Sheehy • C Carroll • SE Carson • P Diggin • J Williams • A O’Beirne • J Dallas • SM Lynch • M McElhinney • C Owens • AD Ion • K O'Connor • JH Milne • T Casey</w:t>
      </w:r>
    </w:p>
    <w:p>
      <w:pPr>
        <w:ind w:right="220"/>
        <w:spacing w:after="0" w:line="237" w:lineRule="auto"/>
        <w:rPr>
          <w:sz w:val="20"/>
          <w:szCs w:val="20"/>
          <w:color w:val="auto"/>
        </w:rPr>
      </w:pPr>
      <w:r>
        <w:rPr>
          <w:rFonts w:ascii="Arial" w:cs="Arial" w:eastAsia="Arial" w:hAnsi="Arial"/>
          <w:sz w:val="14"/>
          <w:szCs w:val="14"/>
          <w:color w:val="4D4D4D"/>
        </w:rPr>
        <w:t>M Doyle • CJ Comerford • R Marron • K O'Shaughnessy • S O'Connor • SE Murphy • D Nangle • A Lawler • C Ó Conluain • N McMahon • HP Brandt • A Sheridan • LM Byrne • N Cole M Devane • D Fitzgerald • G McDonald • N Meehan • R O'Driscoll • B O'Malley • C Bollard • M Daly • D Geraghty • LC Kennedy • E Mulhern • E O'Keeffe • MJ Ellis • D Griffin D McElroy • C Culleton • B Nic Suibhne • S Quinlivan • J Rattigan • K Mulhern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4D4D4D"/>
        </w:rPr>
        <w:t>Consultants: Professor JCW Wylie • MA Greene • AV Fanagan • PM Law • SW Haughey • PV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71386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99" w:name="page100"/>
    <w:bookmarkEnd w:id="99"/>
    <w:p>
      <w:pPr>
        <w:jc w:val="both"/>
        <w:ind w:left="540" w:hanging="527"/>
        <w:spacing w:after="0" w:line="249" w:lineRule="auto"/>
        <w:tabs>
          <w:tab w:leader="none" w:pos="5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238125</wp:posOffset>
            </wp:positionH>
            <wp:positionV relativeFrom="page">
              <wp:posOffset>489585</wp:posOffset>
            </wp:positionV>
            <wp:extent cx="1512570" cy="2368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512570" cy="236855"/>
                    </a:xfrm>
                    <a:prstGeom prst="rect">
                      <a:avLst/>
                    </a:prstGeom>
                    <a:noFill/>
                  </pic:spPr>
                </pic:pic>
              </a:graphicData>
            </a:graphic>
          </wp:anchor>
        </w:drawing>
        <w:t>2.1</w:t>
      </w:r>
      <w:r>
        <w:rPr>
          <w:sz w:val="20"/>
          <w:szCs w:val="20"/>
          <w:color w:val="auto"/>
        </w:rPr>
        <w:tab/>
      </w:r>
      <w:r>
        <w:rPr>
          <w:rFonts w:ascii="Arial" w:cs="Arial" w:eastAsia="Arial" w:hAnsi="Arial"/>
          <w:sz w:val="17"/>
          <w:szCs w:val="17"/>
          <w:color w:val="auto"/>
        </w:rPr>
        <w:t xml:space="preserve">that, at the time of the issuance of the Shares, a sufficient number of Shares will be authorised and available for issuance by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pursuant to the Company’s constitution as adopted on 24 June 2021 (the </w:t>
      </w:r>
      <w:r>
        <w:rPr>
          <w:rFonts w:ascii="Arial" w:cs="Arial" w:eastAsia="Arial" w:hAnsi="Arial"/>
          <w:sz w:val="17"/>
          <w:szCs w:val="17"/>
          <w:b w:val="1"/>
          <w:bCs w:val="1"/>
          <w:color w:val="auto"/>
        </w:rPr>
        <w:t>Constitution</w:t>
      </w:r>
      <w:r>
        <w:rPr>
          <w:rFonts w:ascii="Arial" w:cs="Arial" w:eastAsia="Arial" w:hAnsi="Arial"/>
          <w:sz w:val="17"/>
          <w:szCs w:val="17"/>
          <w:color w:val="auto"/>
        </w:rPr>
        <w:t>), that the consideration for the issuance of such Shares will not be less than the nominal value of such Shares and that the Board, or any appropriate committee appointed thereby, will have the valid authority to issue such Shares on a non-pre-emptive basis;</w:t>
      </w:r>
    </w:p>
    <w:p>
      <w:pPr>
        <w:spacing w:after="0" w:line="155" w:lineRule="exact"/>
        <w:rPr>
          <w:sz w:val="20"/>
          <w:szCs w:val="20"/>
          <w:color w:val="auto"/>
        </w:rPr>
      </w:pPr>
    </w:p>
    <w:p>
      <w:pPr>
        <w:jc w:val="both"/>
        <w:ind w:left="540" w:hanging="527"/>
        <w:spacing w:after="0" w:line="246" w:lineRule="auto"/>
        <w:tabs>
          <w:tab w:leader="none" w:pos="5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that, at the time of the issuance of the Securities, pursuant to the Company's Constitution, that the Board, or any appropriate committee appointed thereby, will have the valid authority to issue such Securities and that such Securities will have been duly executed, authenticated (if applicable), issued and delivered against payment therefor in accordance with the terms of the applicable Securities agreement and in the manner contemplated by the applicable prospectus and that such Securities will be the legally valid and binding obligations of the Company, enforceable against the Company in accordance with their terms;</w:t>
      </w:r>
    </w:p>
    <w:p>
      <w:pPr>
        <w:spacing w:after="0" w:line="157" w:lineRule="exact"/>
        <w:rPr>
          <w:sz w:val="20"/>
          <w:szCs w:val="20"/>
          <w:color w:val="auto"/>
        </w:rPr>
      </w:pPr>
    </w:p>
    <w:p>
      <w:pPr>
        <w:jc w:val="both"/>
        <w:ind w:left="540" w:hanging="527"/>
        <w:spacing w:after="0" w:line="246" w:lineRule="auto"/>
        <w:tabs>
          <w:tab w:leader="none" w:pos="5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 xml:space="preserve">that, at the time of issuance of any Shares issuable upon the exercise of any Debt Securities, Warrants, Subscription Rights or Units exercisable or convertible into Shares, in whole or in part (together, the </w:t>
      </w:r>
      <w:r>
        <w:rPr>
          <w:rFonts w:ascii="Arial" w:cs="Arial" w:eastAsia="Arial" w:hAnsi="Arial"/>
          <w:sz w:val="17"/>
          <w:szCs w:val="17"/>
          <w:b w:val="1"/>
          <w:bCs w:val="1"/>
          <w:color w:val="auto"/>
        </w:rPr>
        <w:t>Convertible Securities</w:t>
      </w:r>
      <w:r>
        <w:rPr>
          <w:rFonts w:ascii="Arial" w:cs="Arial" w:eastAsia="Arial" w:hAnsi="Arial"/>
          <w:sz w:val="17"/>
          <w:szCs w:val="17"/>
          <w:color w:val="auto"/>
        </w:rPr>
        <w:t>), there will be sufficient authorised but unissued share capital available for issuance by the Board under the Company's Constitution and not otherwise reserved for issuance and that the Board, or any appropriate committee appointed thereby, will have the valid authority to issue such Shares on a non-pre-emptive basis;</w:t>
      </w:r>
    </w:p>
    <w:p>
      <w:pPr>
        <w:spacing w:after="0" w:line="358" w:lineRule="exact"/>
        <w:rPr>
          <w:sz w:val="20"/>
          <w:szCs w:val="20"/>
          <w:color w:val="auto"/>
        </w:rPr>
      </w:pPr>
    </w:p>
    <w:p>
      <w:pPr>
        <w:jc w:val="both"/>
        <w:ind w:left="540" w:hanging="527"/>
        <w:spacing w:after="0" w:line="261" w:lineRule="auto"/>
        <w:tabs>
          <w:tab w:leader="none" w:pos="5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 xml:space="preserve">that the issuance of any Shares upon the conversion, exchange and exercise of any of the Convertible Securities will be conducted in accordance with the terms and the procedures described in the Company's Constitution, the Companies Act 2014, as amended (the </w:t>
      </w:r>
      <w:r>
        <w:rPr>
          <w:rFonts w:ascii="Arial" w:cs="Arial" w:eastAsia="Arial" w:hAnsi="Arial"/>
          <w:sz w:val="17"/>
          <w:szCs w:val="17"/>
          <w:b w:val="1"/>
          <w:bCs w:val="1"/>
          <w:color w:val="auto"/>
        </w:rPr>
        <w:t>Companies Act</w:t>
      </w:r>
      <w:r>
        <w:rPr>
          <w:rFonts w:ascii="Arial" w:cs="Arial" w:eastAsia="Arial" w:hAnsi="Arial"/>
          <w:sz w:val="17"/>
          <w:szCs w:val="17"/>
          <w:color w:val="auto"/>
        </w:rPr>
        <w:t>), and the terms of issuance of such Convertible Securities;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that the issuance of any of the Securities will be in compliance with the Companies Act, the Irish Takeover Panel Act 1997, Takeover Rules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2022, and all applicable Irish company, takeover, securities, market abuse, insider dealing laws and other rules and regulations;</w:t>
      </w:r>
    </w:p>
    <w:p>
      <w:pPr>
        <w:spacing w:after="0" w:line="175" w:lineRule="exact"/>
        <w:rPr>
          <w:sz w:val="20"/>
          <w:szCs w:val="20"/>
          <w:color w:val="auto"/>
        </w:rPr>
      </w:pPr>
    </w:p>
    <w:p>
      <w:pPr>
        <w:jc w:val="both"/>
        <w:ind w:left="540" w:hanging="527"/>
        <w:spacing w:after="0" w:line="255" w:lineRule="auto"/>
        <w:tabs>
          <w:tab w:leader="none" w:pos="5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that none of the resolutions and authorities of the Board or shareholders of the Company upon which we have relied have been or will be varied, amended or revoked in any respect or have expired and that the Securities will be issued in accordance with such resolutions and authorities;</w:t>
      </w:r>
    </w:p>
    <w:p>
      <w:pPr>
        <w:spacing w:after="0" w:line="150" w:lineRule="exact"/>
        <w:rPr>
          <w:sz w:val="20"/>
          <w:szCs w:val="20"/>
          <w:color w:val="auto"/>
        </w:rPr>
      </w:pPr>
    </w:p>
    <w:p>
      <w:pPr>
        <w:jc w:val="both"/>
        <w:ind w:left="540" w:hanging="527"/>
        <w:spacing w:after="0" w:line="255" w:lineRule="auto"/>
        <w:tabs>
          <w:tab w:leader="none" w:pos="5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that, when filed with the SEC, the Registration Statement will not differ in any material respect from the final draft that we have examined and that before any Securities are issued, offered or sold, the Registration Statement and any amendments to the Registration Statement (including post-effective amendments) will have become effective under the Securities Act;</w:t>
      </w:r>
    </w:p>
    <w:p>
      <w:pPr>
        <w:spacing w:after="0" w:line="150" w:lineRule="exact"/>
        <w:rPr>
          <w:sz w:val="20"/>
          <w:szCs w:val="20"/>
          <w:color w:val="auto"/>
        </w:rPr>
      </w:pPr>
    </w:p>
    <w:p>
      <w:pPr>
        <w:jc w:val="both"/>
        <w:ind w:left="540" w:hanging="527"/>
        <w:spacing w:after="0" w:line="246" w:lineRule="auto"/>
        <w:tabs>
          <w:tab w:leader="none" w:pos="5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color w:val="auto"/>
        </w:rPr>
        <w:t>that no authorisations, approvals, licences, exemptions or consents of governmental or regulatory authorities with respect to the agreements or arrangements referred to in the Registration Statement are or will be required to be obtained, that the Securities will conform with the descriptions and restrictions contained in the Registration Statement, subject to such changes as may be required in order to comply with any requirement of Irish law, that the selling restrictions contained therein have been and will be at all times observed and that the Securities will comply with the terms of any agreements relating to the Securities;</w:t>
      </w:r>
    </w:p>
    <w:p>
      <w:pPr>
        <w:spacing w:after="0" w:line="157" w:lineRule="exact"/>
        <w:rPr>
          <w:sz w:val="20"/>
          <w:szCs w:val="20"/>
          <w:color w:val="auto"/>
        </w:rPr>
      </w:pPr>
    </w:p>
    <w:p>
      <w:pPr>
        <w:jc w:val="both"/>
        <w:ind w:left="540" w:hanging="527"/>
        <w:spacing w:after="0" w:line="249" w:lineRule="auto"/>
        <w:tabs>
          <w:tab w:leader="none" w:pos="52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color w:val="auto"/>
        </w:rPr>
        <w:t>that the Registration Statement does not constitute (and is not intended/required to constitute) a prospectus within the meaning of Part 23 of the Irish Companies Act 2014 and to the extent that any offer of Securities is being made to investors in any member state of the European Union, the Company is satisfied that the obligation to propose and publish a prospectus pursuant to European Union and/or Irish prospectus law, or in particular pursuant to the European Union (Prospectus) Regulations 2019, does not arise;</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7"/>
          <w:szCs w:val="17"/>
          <w:color w:val="59595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00" w:name="page101"/>
    <w:bookmarkEnd w:id="100"/>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514350</wp:posOffset>
            </wp:positionV>
            <wp:extent cx="1512570" cy="2368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512570" cy="236855"/>
                    </a:xfrm>
                    <a:prstGeom prst="rect">
                      <a:avLst/>
                    </a:prstGeom>
                    <a:noFill/>
                  </pic:spPr>
                </pic:pic>
              </a:graphicData>
            </a:graphic>
          </wp:anchor>
        </w:drawing>
      </w:r>
    </w:p>
    <w:p>
      <w:pPr>
        <w:jc w:val="both"/>
        <w:ind w:left="540" w:hanging="527"/>
        <w:spacing w:after="0" w:line="243" w:lineRule="auto"/>
        <w:tabs>
          <w:tab w:leader="none" w:pos="520" w:val="left"/>
        </w:tabs>
        <w:rPr>
          <w:sz w:val="20"/>
          <w:szCs w:val="20"/>
          <w:color w:val="auto"/>
        </w:rPr>
      </w:pPr>
      <w:r>
        <w:rPr>
          <w:rFonts w:ascii="Arial" w:cs="Arial" w:eastAsia="Arial" w:hAnsi="Arial"/>
          <w:sz w:val="17"/>
          <w:szCs w:val="17"/>
          <w:color w:val="auto"/>
        </w:rPr>
        <w:t>2.10</w:t>
        <w:tab/>
        <w:t>the absence of fraud on the part of the Company and its respective officers, employees, agents and advisers and that the Company will issue the Securities in good faith, for its legitimate and bona fide business purposes. We have further assumed that: (i) the Company will be fully solvent at the time of and immediately following the issue of any Securities; (ii) no resolution or petition for the appointment of a liquidator or examiner will be passed or presented prior to the issue of any Securities; (iii) no receiver will have been appointed in relation to any of the assets or undertaking of the Company prior to the issue of any Securities; and (iv) no composition in satisfaction of debts, scheme of arrangement, or compromise or arrangement with creditors or members (or any class of creditors or members) will be proposed, sanctioned or approved in relation to the Company prior to the issue of the Securities.</w:t>
      </w:r>
    </w:p>
    <w:p>
      <w:pPr>
        <w:spacing w:after="0" w:line="160" w:lineRule="exact"/>
        <w:rPr>
          <w:sz w:val="20"/>
          <w:szCs w:val="20"/>
          <w:color w:val="auto"/>
        </w:rPr>
      </w:pPr>
    </w:p>
    <w:p>
      <w:pPr>
        <w:ind w:left="540" w:hanging="537"/>
        <w:spacing w:after="0" w:line="273"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Subject to the foregoing and to the within additional qualifications and assumptions, and based upon searches carried out in the Irish Companies Registration Office and the Central Office of the High Court on 9 March 2023 we are of the opinion that: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Company is a public limited company duly incorporated under the laws of Ireland and validly existing under the laws of Ireland;</w:t>
      </w:r>
    </w:p>
    <w:p>
      <w:pPr>
        <w:spacing w:after="0" w:line="191" w:lineRule="exact"/>
        <w:rPr>
          <w:sz w:val="20"/>
          <w:szCs w:val="20"/>
          <w:color w:val="auto"/>
        </w:rPr>
      </w:pPr>
    </w:p>
    <w:p>
      <w:pPr>
        <w:jc w:val="both"/>
        <w:ind w:left="540" w:hanging="527"/>
        <w:spacing w:after="0" w:line="249" w:lineRule="auto"/>
        <w:tabs>
          <w:tab w:leader="none" w:pos="5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the Shares, including any Shares to be issued upon conversion, exercise, exchange or otherwise pursuant to the terms of any of the Securities, in each case when issued in accordance with all necessary corporate action of the Company, including a valid resolution of the Board or any duly appointed committee thereof, and when delivered against due payment therefor, shall be duly authorised, validly issued, fully paid and will not be subject to calls for any additional payments (non-assessable); and</w:t>
      </w:r>
    </w:p>
    <w:p>
      <w:pPr>
        <w:spacing w:after="0" w:line="155" w:lineRule="exact"/>
        <w:rPr>
          <w:sz w:val="20"/>
          <w:szCs w:val="20"/>
          <w:color w:val="auto"/>
        </w:rPr>
      </w:pPr>
    </w:p>
    <w:p>
      <w:pPr>
        <w:jc w:val="both"/>
        <w:ind w:left="540" w:hanging="527"/>
        <w:spacing w:after="0" w:line="244" w:lineRule="auto"/>
        <w:tabs>
          <w:tab w:leader="none" w:pos="5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the Debt Securities, Warrants, Subscription Rights and Units when (i) issued in accordance with all necessary corporate action of the Company, including a valid resolution of the Board or any duly appointed committee thereof; (ii) if appropriate, authenticated in the manner set forth in the applicable indenture, warrant agreement, subscription rights agreement, unit agreement or other applicable agreement; (iii) delivered against due payment therefor; and (iv) the applicable indenture, warrant agreement, subscription rights agreement, unit agreement or other applicable agreement has been duly authorized, executed and delivered by the Company and the other parties thereto, will be duly authorized, validly issued and binding obligations of the Company.</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rendering this Opinion we have confined ourselves to matters of Irish law. We express no opinion on any laws other than the laws of Ireland (and the interpretation thereof) in force as at the date hereof and we express no opinion with respect to taxation matters. This Opinion speaks only as of its date. We are not under any obligation to update this Opinion from time to time, nor to notify you of any change of law, facts or circumstances referred to or relied upon in the giving of this Opinion.</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Opinion is given solely for the benefit of the addressee of this Opinion and may not be relied upon by any other person without our prior written consent, provided, however, that it may be relied upon by persons entitled to rely on it pursuant to applicable provisions of US federal securities laws, including but not limited to any purchaser of the Securities.</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Opinion is intended solely for use in connection with the registration and potential issuance of the Securities subject to the Registration Statement and is not to be relied upon for any other purpose.</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Opinion is also strictly confined to the matters expressly stated herein and is not to be read as extending by implication or otherwise to any other matter.</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hereby consent to the filing of this Opinion with the SEC as an exhibit to the Registration Statement filed with the SEC on 9 March 2023 in accordance with the requirements of Item 601(b)(5) of Regulations S-K of the Securities Act, and to the use of our name therein and in the related Prospectus and in any prospectus supplement under the caption “Legal Matters”.</w:t>
      </w:r>
    </w:p>
    <w:p>
      <w:pPr>
        <w:spacing w:after="0" w:line="253" w:lineRule="exact"/>
        <w:rPr>
          <w:sz w:val="20"/>
          <w:szCs w:val="20"/>
          <w:color w:val="auto"/>
        </w:rPr>
      </w:pPr>
    </w:p>
    <w:p>
      <w:pPr>
        <w:ind w:left="11140"/>
        <w:spacing w:after="0"/>
        <w:rPr>
          <w:sz w:val="20"/>
          <w:szCs w:val="20"/>
          <w:color w:val="auto"/>
        </w:rPr>
      </w:pPr>
      <w:r>
        <w:rPr>
          <w:rFonts w:ascii="Arial" w:cs="Arial" w:eastAsia="Arial" w:hAnsi="Arial"/>
          <w:sz w:val="17"/>
          <w:szCs w:val="17"/>
          <w:color w:val="59595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489585</wp:posOffset>
            </wp:positionV>
            <wp:extent cx="1512570" cy="2368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512570" cy="236855"/>
                    </a:xfrm>
                    <a:prstGeom prst="rect">
                      <a:avLst/>
                    </a:prstGeom>
                    <a:noFill/>
                  </pic:spPr>
                </pic:pic>
              </a:graphicData>
            </a:graphic>
          </wp:anchor>
        </w:drawing>
        <w:t>The Opinion is governed by and construed in accordance with the laws of Ireland.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 A&amp;L Goodbody LLP</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color w:val="59595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102" w:name="page103"/>
    <w:bookmarkEnd w:id="102"/>
    <w:p>
      <w:pPr>
        <w:ind w:left="4620"/>
        <w:spacing w:after="0"/>
        <w:rPr>
          <w:sz w:val="20"/>
          <w:szCs w:val="20"/>
          <w:color w:val="auto"/>
        </w:rPr>
      </w:pPr>
      <w:r>
        <w:rPr>
          <w:rFonts w:ascii="Arial" w:cs="Arial" w:eastAsia="Arial" w:hAnsi="Arial"/>
          <w:sz w:val="17"/>
          <w:szCs w:val="17"/>
          <w:color w:val="140BE3"/>
        </w:rPr>
        <w:t xml:space="preserve">Davis Polk &amp; Wardwell </w:t>
      </w:r>
      <w:r>
        <w:rPr>
          <w:rFonts w:ascii="Arial" w:cs="Arial" w:eastAsia="Arial" w:hAnsi="Arial"/>
          <w:sz w:val="11"/>
          <w:szCs w:val="11"/>
          <w:color w:val="140BE3"/>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858520" cy="155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858520" cy="15557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140BE3"/>
        </w:rPr>
        <w:t>450 Lexington Avenue</w:t>
      </w:r>
    </w:p>
    <w:p>
      <w:pPr>
        <w:ind w:left="4620"/>
        <w:spacing w:after="0" w:line="237" w:lineRule="auto"/>
        <w:rPr>
          <w:sz w:val="20"/>
          <w:szCs w:val="20"/>
          <w:color w:val="auto"/>
        </w:rPr>
      </w:pPr>
      <w:r>
        <w:rPr>
          <w:rFonts w:ascii="Arial" w:cs="Arial" w:eastAsia="Arial" w:hAnsi="Arial"/>
          <w:sz w:val="17"/>
          <w:szCs w:val="17"/>
          <w:color w:val="140BE3"/>
        </w:rPr>
        <w:t>New York, NY 10017</w:t>
      </w:r>
    </w:p>
    <w:p>
      <w:pPr>
        <w:ind w:left="4620"/>
        <w:spacing w:after="0"/>
        <w:rPr>
          <w:sz w:val="20"/>
          <w:szCs w:val="20"/>
          <w:color w:val="auto"/>
        </w:rPr>
      </w:pPr>
      <w:r>
        <w:rPr>
          <w:rFonts w:ascii="Arial" w:cs="Arial" w:eastAsia="Arial" w:hAnsi="Arial"/>
          <w:sz w:val="17"/>
          <w:szCs w:val="17"/>
          <w:color w:val="140BE3"/>
        </w:rPr>
        <w:t>davispolk.com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5.2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OPINION OF DAVIS POLK &amp; WARDWELL LLP</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March 9, 2023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GH Research PLC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Joshua Dawson House</w:t>
      </w:r>
    </w:p>
    <w:p>
      <w:pPr>
        <w:spacing w:after="0" w:line="237" w:lineRule="auto"/>
        <w:rPr>
          <w:sz w:val="20"/>
          <w:szCs w:val="20"/>
          <w:color w:val="auto"/>
        </w:rPr>
      </w:pPr>
      <w:r>
        <w:rPr>
          <w:rFonts w:ascii="Arial" w:cs="Arial" w:eastAsia="Arial" w:hAnsi="Arial"/>
          <w:sz w:val="17"/>
          <w:szCs w:val="17"/>
          <w:color w:val="auto"/>
        </w:rPr>
        <w:t>Dawson Street</w:t>
      </w:r>
    </w:p>
    <w:p>
      <w:pPr>
        <w:spacing w:after="0" w:line="237" w:lineRule="auto"/>
        <w:rPr>
          <w:sz w:val="20"/>
          <w:szCs w:val="20"/>
          <w:color w:val="auto"/>
        </w:rPr>
      </w:pPr>
      <w:r>
        <w:rPr>
          <w:rFonts w:ascii="Arial" w:cs="Arial" w:eastAsia="Arial" w:hAnsi="Arial"/>
          <w:sz w:val="17"/>
          <w:szCs w:val="17"/>
          <w:color w:val="auto"/>
        </w:rPr>
        <w:t>Dublin 2</w:t>
      </w:r>
    </w:p>
    <w:p>
      <w:pPr>
        <w:spacing w:after="0" w:line="237" w:lineRule="auto"/>
        <w:rPr>
          <w:sz w:val="20"/>
          <w:szCs w:val="20"/>
          <w:color w:val="auto"/>
        </w:rPr>
      </w:pPr>
      <w:r>
        <w:rPr>
          <w:rFonts w:ascii="Arial" w:cs="Arial" w:eastAsia="Arial" w:hAnsi="Arial"/>
          <w:sz w:val="17"/>
          <w:szCs w:val="17"/>
          <w:color w:val="auto"/>
        </w:rPr>
        <w:t>D02 RY95</w:t>
      </w:r>
    </w:p>
    <w:p>
      <w:pPr>
        <w:spacing w:after="0"/>
        <w:rPr>
          <w:sz w:val="20"/>
          <w:szCs w:val="20"/>
          <w:color w:val="auto"/>
        </w:rPr>
      </w:pPr>
      <w:r>
        <w:rPr>
          <w:rFonts w:ascii="Arial" w:cs="Arial" w:eastAsia="Arial" w:hAnsi="Arial"/>
          <w:sz w:val="17"/>
          <w:szCs w:val="17"/>
          <w:color w:val="auto"/>
        </w:rPr>
        <w:t>Ireland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8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GH Research PLC, a public limited company incorporated under the laws of Ireland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a Registration Statement on Form F-3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 ordinary shares in the capital of the Company with a nominal value of $0.025 each (the “</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1" w:lineRule="exact"/>
        <w:rPr>
          <w:sz w:val="20"/>
          <w:szCs w:val="20"/>
          <w:color w:val="auto"/>
        </w:rPr>
      </w:pPr>
    </w:p>
    <w:p>
      <w:pPr>
        <w:ind w:right="40" w:firstLine="3"/>
        <w:spacing w:after="0" w:line="237" w:lineRule="auto"/>
        <w:tabs>
          <w:tab w:leader="none" w:pos="2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issued pursuant to an indenture to be entered into between the Company and the trustee to be named therein (the “</w:t>
      </w:r>
      <w:r>
        <w:rPr>
          <w:rFonts w:ascii="Arial" w:cs="Arial" w:eastAsia="Arial" w:hAnsi="Arial"/>
          <w:sz w:val="17"/>
          <w:szCs w:val="17"/>
          <w:b w:val="1"/>
          <w:bCs w:val="1"/>
          <w:color w:val="auto"/>
        </w:rPr>
        <w:t>Trustee</w:t>
      </w:r>
      <w:r>
        <w:rPr>
          <w:rFonts w:ascii="Arial" w:cs="Arial" w:eastAsia="Arial" w:hAnsi="Arial"/>
          <w:sz w:val="17"/>
          <w:szCs w:val="17"/>
          <w:color w:val="auto"/>
        </w:rPr>
        <w:t>”) (the “</w:t>
      </w:r>
      <w:r>
        <w:rPr>
          <w:rFonts w:ascii="Arial" w:cs="Arial" w:eastAsia="Arial" w:hAnsi="Arial"/>
          <w:sz w:val="17"/>
          <w:szCs w:val="17"/>
          <w:b w:val="1"/>
          <w:bCs w:val="1"/>
          <w:color w:val="auto"/>
        </w:rPr>
        <w:t>Indenture</w:t>
      </w:r>
      <w:r>
        <w:rPr>
          <w:rFonts w:ascii="Arial" w:cs="Arial" w:eastAsia="Arial" w:hAnsi="Arial"/>
          <w:sz w:val="17"/>
          <w:szCs w:val="17"/>
          <w:color w:val="auto"/>
        </w:rPr>
        <w:t>”); (c)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pursuant to one or more warrant agreements to be entered into between the Company and the warrant agent to be named therein (the “</w:t>
      </w:r>
      <w:r>
        <w:rPr>
          <w:rFonts w:ascii="Arial" w:cs="Arial" w:eastAsia="Arial" w:hAnsi="Arial"/>
          <w:sz w:val="17"/>
          <w:szCs w:val="17"/>
          <w:b w:val="1"/>
          <w:bCs w:val="1"/>
          <w:color w:val="auto"/>
        </w:rPr>
        <w:t>Warrant Agent</w:t>
      </w:r>
      <w:r>
        <w:rPr>
          <w:rFonts w:ascii="Arial" w:cs="Arial" w:eastAsia="Arial" w:hAnsi="Arial"/>
          <w:sz w:val="17"/>
          <w:szCs w:val="17"/>
          <w:color w:val="auto"/>
        </w:rPr>
        <w:t>”)</w:t>
      </w:r>
    </w:p>
    <w:p>
      <w:pPr>
        <w:ind w:right="40"/>
        <w:spacing w:after="0" w:line="244" w:lineRule="auto"/>
        <w:rPr>
          <w:rFonts w:ascii="Arial" w:cs="Arial" w:eastAsia="Arial" w:hAnsi="Arial"/>
          <w:sz w:val="17"/>
          <w:szCs w:val="17"/>
          <w:color w:val="auto"/>
        </w:rPr>
      </w:pPr>
      <w:r>
        <w:rPr>
          <w:rFonts w:ascii="Arial" w:cs="Arial" w:eastAsia="Arial" w:hAnsi="Arial"/>
          <w:sz w:val="17"/>
          <w:szCs w:val="17"/>
          <w:color w:val="auto"/>
        </w:rPr>
        <w:t>(each such warrant agreement, a “</w:t>
      </w:r>
      <w:r>
        <w:rPr>
          <w:rFonts w:ascii="Arial" w:cs="Arial" w:eastAsia="Arial" w:hAnsi="Arial"/>
          <w:sz w:val="17"/>
          <w:szCs w:val="17"/>
          <w:b w:val="1"/>
          <w:bCs w:val="1"/>
          <w:color w:val="auto"/>
        </w:rPr>
        <w:t>Warrant Agreement</w:t>
      </w:r>
      <w:r>
        <w:rPr>
          <w:rFonts w:ascii="Arial" w:cs="Arial" w:eastAsia="Arial" w:hAnsi="Arial"/>
          <w:sz w:val="17"/>
          <w:szCs w:val="17"/>
          <w:color w:val="auto"/>
        </w:rPr>
        <w:t>”); (d) units (the “</w:t>
      </w:r>
      <w:r>
        <w:rPr>
          <w:rFonts w:ascii="Arial" w:cs="Arial" w:eastAsia="Arial" w:hAnsi="Arial"/>
          <w:sz w:val="17"/>
          <w:szCs w:val="17"/>
          <w:b w:val="1"/>
          <w:bCs w:val="1"/>
          <w:color w:val="auto"/>
        </w:rPr>
        <w:t>Units</w:t>
      </w:r>
      <w:r>
        <w:rPr>
          <w:rFonts w:ascii="Arial" w:cs="Arial" w:eastAsia="Arial" w:hAnsi="Arial"/>
          <w:sz w:val="17"/>
          <w:szCs w:val="17"/>
          <w:color w:val="auto"/>
        </w:rPr>
        <w:t>”), which may be issued pursuant to one or more unit agreements to be entered into among the Company, a bank or trust company, as unit agent (the “</w:t>
      </w:r>
      <w:r>
        <w:rPr>
          <w:rFonts w:ascii="Arial" w:cs="Arial" w:eastAsia="Arial" w:hAnsi="Arial"/>
          <w:sz w:val="17"/>
          <w:szCs w:val="17"/>
          <w:b w:val="1"/>
          <w:bCs w:val="1"/>
          <w:color w:val="auto"/>
        </w:rPr>
        <w:t>Unit Agent</w:t>
      </w:r>
      <w:r>
        <w:rPr>
          <w:rFonts w:ascii="Arial" w:cs="Arial" w:eastAsia="Arial" w:hAnsi="Arial"/>
          <w:sz w:val="17"/>
          <w:szCs w:val="17"/>
          <w:color w:val="auto"/>
        </w:rPr>
        <w:t>”), and the holders from time to time of the Units (each such unit agreement, a “</w:t>
      </w:r>
      <w:r>
        <w:rPr>
          <w:rFonts w:ascii="Arial" w:cs="Arial" w:eastAsia="Arial" w:hAnsi="Arial"/>
          <w:sz w:val="17"/>
          <w:szCs w:val="17"/>
          <w:b w:val="1"/>
          <w:bCs w:val="1"/>
          <w:color w:val="auto"/>
        </w:rPr>
        <w:t>Unit Agreement</w:t>
      </w:r>
      <w:r>
        <w:rPr>
          <w:rFonts w:ascii="Arial" w:cs="Arial" w:eastAsia="Arial" w:hAnsi="Arial"/>
          <w:sz w:val="17"/>
          <w:szCs w:val="17"/>
          <w:color w:val="auto"/>
        </w:rPr>
        <w:t>”); and (e) subscription rights (the “</w:t>
      </w:r>
      <w:r>
        <w:rPr>
          <w:rFonts w:ascii="Arial" w:cs="Arial" w:eastAsia="Arial" w:hAnsi="Arial"/>
          <w:sz w:val="17"/>
          <w:szCs w:val="17"/>
          <w:b w:val="1"/>
          <w:bCs w:val="1"/>
          <w:color w:val="auto"/>
        </w:rPr>
        <w:t>Rights</w:t>
      </w:r>
      <w:r>
        <w:rPr>
          <w:rFonts w:ascii="Arial" w:cs="Arial" w:eastAsia="Arial" w:hAnsi="Arial"/>
          <w:sz w:val="17"/>
          <w:szCs w:val="17"/>
          <w:color w:val="auto"/>
        </w:rPr>
        <w:t>”), which may be issued pursuant to one or more subscription rights agreements to be entered into between the Company and the subscription agent to be named therein (the “</w:t>
      </w:r>
      <w:r>
        <w:rPr>
          <w:rFonts w:ascii="Arial" w:cs="Arial" w:eastAsia="Arial" w:hAnsi="Arial"/>
          <w:sz w:val="17"/>
          <w:szCs w:val="17"/>
          <w:b w:val="1"/>
          <w:bCs w:val="1"/>
          <w:color w:val="auto"/>
        </w:rPr>
        <w:t>Rights Agent</w:t>
      </w:r>
      <w:r>
        <w:rPr>
          <w:rFonts w:ascii="Arial" w:cs="Arial" w:eastAsia="Arial" w:hAnsi="Arial"/>
          <w:sz w:val="17"/>
          <w:szCs w:val="17"/>
          <w:color w:val="auto"/>
        </w:rPr>
        <w:t>”) (each such subscription rights agreement, a “</w:t>
      </w:r>
      <w:r>
        <w:rPr>
          <w:rFonts w:ascii="Arial" w:cs="Arial" w:eastAsia="Arial" w:hAnsi="Arial"/>
          <w:sz w:val="17"/>
          <w:szCs w:val="17"/>
          <w:b w:val="1"/>
          <w:bCs w:val="1"/>
          <w:color w:val="auto"/>
        </w:rPr>
        <w:t>Rights Agreement</w:t>
      </w:r>
      <w:r>
        <w:rPr>
          <w:rFonts w:ascii="Arial" w:cs="Arial" w:eastAsia="Arial" w:hAnsi="Arial"/>
          <w:sz w:val="17"/>
          <w:szCs w:val="17"/>
          <w:color w:val="auto"/>
        </w:rPr>
        <w:t>”).</w:t>
      </w:r>
    </w:p>
    <w:p>
      <w:pPr>
        <w:spacing w:after="0" w:line="14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7138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Based upon the foregoing, and subject to the additional assumptions and qualifications set forth below, we advise you that, in our opinion:</w:t>
      </w:r>
    </w:p>
    <w:p>
      <w:pPr>
        <w:spacing w:after="0" w:line="191" w:lineRule="exact"/>
        <w:rPr>
          <w:sz w:val="20"/>
          <w:szCs w:val="20"/>
          <w:color w:val="auto"/>
        </w:rPr>
      </w:pPr>
    </w:p>
    <w:p>
      <w:pPr>
        <w:ind w:left="1240" w:hanging="619"/>
        <w:spacing w:after="0" w:line="239" w:lineRule="auto"/>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When the Indenture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72" w:lineRule="exact"/>
        <w:rPr>
          <w:rFonts w:ascii="Arial" w:cs="Arial" w:eastAsia="Arial" w:hAnsi="Arial"/>
          <w:sz w:val="17"/>
          <w:szCs w:val="17"/>
          <w:color w:val="auto"/>
        </w:rPr>
      </w:pPr>
    </w:p>
    <w:p>
      <w:pPr>
        <w:ind w:left="1240" w:right="80" w:hanging="619"/>
        <w:spacing w:after="0" w:line="242" w:lineRule="auto"/>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61" w:lineRule="exact"/>
        <w:rPr>
          <w:rFonts w:ascii="Arial" w:cs="Arial" w:eastAsia="Arial" w:hAnsi="Arial"/>
          <w:sz w:val="17"/>
          <w:szCs w:val="17"/>
          <w:color w:val="auto"/>
        </w:rPr>
      </w:pPr>
    </w:p>
    <w:p>
      <w:pPr>
        <w:ind w:left="1240" w:right="20" w:hanging="619"/>
        <w:spacing w:after="0" w:line="242" w:lineRule="auto"/>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61" w:lineRule="exact"/>
        <w:rPr>
          <w:rFonts w:ascii="Arial" w:cs="Arial" w:eastAsia="Arial" w:hAnsi="Arial"/>
          <w:sz w:val="17"/>
          <w:szCs w:val="17"/>
          <w:color w:val="auto"/>
        </w:rPr>
      </w:pPr>
    </w:p>
    <w:p>
      <w:pPr>
        <w:ind w:left="1240" w:right="60" w:hanging="619"/>
        <w:spacing w:after="0" w:line="242" w:lineRule="auto"/>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When the Rights Agreement to be entered into in connection with the issuance of any Rights has been duly authorized, executed and delivered by the Rights Agent and the Company; the specific terms of the Rights have been duly authorized and established in accordance with the Rights Agreement; and such Rights have been duly authorized, executed, issued and delivered in accordance with the Rights Agreement and the applicable underwriting or other agreement against payment therefor, such Rights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1386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4" w:name="page105"/>
    <w:bookmarkEnd w:id="104"/>
    <w:p>
      <w:pPr>
        <w:ind w:right="60"/>
        <w:spacing w:after="0" w:line="239" w:lineRule="auto"/>
        <w:rPr>
          <w:sz w:val="20"/>
          <w:szCs w:val="20"/>
          <w:color w:val="auto"/>
        </w:rPr>
      </w:pPr>
      <w:r>
        <w:rPr>
          <w:rFonts w:ascii="Arial" w:cs="Arial" w:eastAsia="Arial" w:hAnsi="Arial"/>
          <w:sz w:val="17"/>
          <w:szCs w:val="17"/>
          <w:color w:val="auto"/>
        </w:rPr>
        <w:t>In connection with the opinions expressed above, we have assumed that, at or prior to the time of the delivery of any such security, (i) the Board of Directors of the Company shall have duly established the terms of such security and the Board of Directors of the Company and, to the extent required under Irish law, the shareholders of the Company shall have duly authorized the issuance and sale of such security and such authorization shall not have been modified or rescinded; (ii) the Company is, and shall remain, validly existing as a public limited company duly incorporated under the laws of Ireland and validly existing under the laws of Ireland; (iii) the Registration Statement shall have become effective and such effectiveness shall not have been terminated or rescinded; (iv) the Indenture, the Debt Securities, the Warrant Agreement, the Unit Agreement and the Rights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the terms of any security whose terms are established subsequent to the date hereof and the issuance, execution, delivery and performance by the Company of any such security (a) are within its corporate powers, (b) do not contravene, or constitute a default under, the constitution or other constitutive documents of the Company, (c) require no action by or in respect of, or filing with, any governmental body, agency or official and (d) do not contravene, or constitute a default under, any provision of applicable law or public policy or regulation or any judgment, injunction, order or decree or any agreement or other instrument binding upon the Company and (ii) any Warrant Agreement, Unit Agreement and Rights Agreement and any security issued pursuant to any such agreements will be governed by the laws of the State of New York.</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and the federal laws of the United States. Insofar as the foregoing opinion involves matters governed by the laws of Ireland, we have relied, without independent inquiry or investigation, on the opinion of A&amp;L Goodbody LLP delivered to you today.</w:t>
      </w:r>
    </w:p>
    <w:p>
      <w:pPr>
        <w:spacing w:after="0" w:line="150"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344170</wp:posOffset>
            </wp:positionV>
            <wp:extent cx="71386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u w:val="single" w:color="auto"/>
          <w:color w:val="auto"/>
        </w:rPr>
        <w:t>Exhibit 23.1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191" w:lineRule="exact"/>
        <w:rPr>
          <w:sz w:val="20"/>
          <w:szCs w:val="20"/>
          <w:color w:val="auto"/>
        </w:rPr>
      </w:pPr>
    </w:p>
    <w:p>
      <w:pPr>
        <w:ind w:right="220" w:firstLine="618"/>
        <w:spacing w:after="0" w:line="255" w:lineRule="auto"/>
        <w:rPr>
          <w:sz w:val="20"/>
          <w:szCs w:val="20"/>
          <w:color w:val="auto"/>
        </w:rPr>
      </w:pPr>
      <w:r>
        <w:rPr>
          <w:rFonts w:ascii="Arial" w:cs="Arial" w:eastAsia="Arial" w:hAnsi="Arial"/>
          <w:sz w:val="17"/>
          <w:szCs w:val="17"/>
          <w:color w:val="auto"/>
        </w:rPr>
        <w:t>We hereby consent to the incorporation by reference in this Registration Statement on Form F-3 of GH Research PLC of our report dated March 9, 2023 relating to the financial statements, which appears in GH Research PLC’s Annual Report on Form 20-F for the year ended December 31, 2022. We also consent to the reference to us under the heading “Experts” in such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Dublin, Ireland</w:t>
      </w:r>
    </w:p>
    <w:p>
      <w:pPr>
        <w:spacing w:after="0"/>
        <w:rPr>
          <w:sz w:val="20"/>
          <w:szCs w:val="20"/>
          <w:color w:val="auto"/>
        </w:rPr>
      </w:pPr>
      <w:r>
        <w:rPr>
          <w:rFonts w:ascii="Arial" w:cs="Arial" w:eastAsia="Arial" w:hAnsi="Arial"/>
          <w:sz w:val="17"/>
          <w:szCs w:val="17"/>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386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u w:val="single" w:color="auto"/>
          <w:color w:val="auto"/>
        </w:rPr>
        <w:t>Exhibit 23.2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191" w:lineRule="exact"/>
        <w:rPr>
          <w:sz w:val="20"/>
          <w:szCs w:val="20"/>
          <w:color w:val="auto"/>
        </w:rPr>
      </w:pPr>
    </w:p>
    <w:p>
      <w:pPr>
        <w:jc w:val="both"/>
        <w:ind w:right="220" w:firstLine="618"/>
        <w:spacing w:after="0" w:line="249" w:lineRule="auto"/>
        <w:rPr>
          <w:sz w:val="20"/>
          <w:szCs w:val="20"/>
          <w:color w:val="auto"/>
        </w:rPr>
      </w:pPr>
      <w:r>
        <w:rPr>
          <w:rFonts w:ascii="Arial" w:cs="Arial" w:eastAsia="Arial" w:hAnsi="Arial"/>
          <w:sz w:val="17"/>
          <w:szCs w:val="17"/>
          <w:color w:val="auto"/>
        </w:rPr>
        <w:t>We hereby consent to the incorporation by reference in this Registration Statement on Form F-3 of GH Research PLC of our report dated April 20, 2021, except for the effects of the share conversion and consolidation discussed in note 1 to the consolidated financial statements, as to which the date is March 28, 2022, relating to the financial statements, which appears in GH Research PLC's Annual Report on Form 20-F for the year ended December 31, 2022. We also consent to the reference to us under the heading “Experts” in such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Lausanne, Switzerland</w:t>
      </w:r>
    </w:p>
    <w:p>
      <w:pPr>
        <w:spacing w:after="0"/>
        <w:rPr>
          <w:sz w:val="20"/>
          <w:szCs w:val="20"/>
          <w:color w:val="auto"/>
        </w:rPr>
      </w:pPr>
      <w:r>
        <w:rPr>
          <w:rFonts w:ascii="Arial" w:cs="Arial" w:eastAsia="Arial" w:hAnsi="Arial"/>
          <w:sz w:val="17"/>
          <w:szCs w:val="17"/>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628650</wp:posOffset>
            </wp:positionV>
            <wp:extent cx="71386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07" w:name="page108"/>
    <w:bookmarkEnd w:id="107"/>
    <w:p>
      <w:pPr>
        <w:ind w:left="10200"/>
        <w:spacing w:after="0"/>
        <w:rPr>
          <w:sz w:val="20"/>
          <w:szCs w:val="20"/>
          <w:color w:val="auto"/>
        </w:rPr>
      </w:pPr>
      <w:r>
        <w:rPr>
          <w:rFonts w:ascii="Arial" w:cs="Arial" w:eastAsia="Arial" w:hAnsi="Arial"/>
          <w:sz w:val="17"/>
          <w:szCs w:val="17"/>
          <w:b w:val="1"/>
          <w:bCs w:val="1"/>
          <w:color w:val="auto"/>
        </w:rPr>
        <w:t>Exhibit 107.1</w:t>
      </w:r>
    </w:p>
    <w:p>
      <w:pPr>
        <w:spacing w:after="0" w:line="191"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Calculation of Filing Fee Tables</w:t>
      </w:r>
    </w:p>
    <w:p>
      <w:pPr>
        <w:spacing w:after="0" w:line="191"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Form F-3</w:t>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(Form Type)</w:t>
      </w:r>
    </w:p>
    <w:p>
      <w:pPr>
        <w:spacing w:after="0" w:line="17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GH Research PLC</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(Exact Name of Registrant as Specified in its Charter)</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7"/>
          <w:szCs w:val="17"/>
          <w:u w:val="single" w:color="auto"/>
          <w:color w:val="auto"/>
        </w:rPr>
        <w:t>Table 1: Newly Registered and Carry Forward Securities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880" w:type="dxa"/>
            <w:vAlign w:val="bottom"/>
            <w:tcBorders>
              <w:top w:val="single" w:sz="8" w:color="auto"/>
              <w:left w:val="single" w:sz="8" w:color="auto"/>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Filing Fee</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Previously</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8"/>
              </w:rPr>
              <w:t>Paid In</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Connection</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with</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5"/>
              </w:rPr>
              <w:t>Fee</w:t>
            </w: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8"/>
              </w:rPr>
              <w:t>Proposed</w:t>
            </w: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Carry</w:t>
            </w: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8"/>
              </w:rPr>
              <w:t>Unsold</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color w:val="auto"/>
              </w:rPr>
              <w:t>Calculation</w:t>
            </w: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Maximum</w:t>
            </w: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color w:val="auto"/>
              </w:rPr>
              <w:t>Carry</w:t>
            </w:r>
          </w:p>
        </w:tc>
        <w:tc>
          <w:tcPr>
            <w:tcW w:w="6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Carry</w:t>
            </w:r>
          </w:p>
        </w:tc>
        <w:tc>
          <w:tcPr>
            <w:tcW w:w="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Forward</w:t>
            </w: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Securities</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or Carry</w:t>
            </w: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Offering</w:t>
            </w:r>
          </w:p>
        </w:tc>
        <w:tc>
          <w:tcPr>
            <w:tcW w:w="11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Maximum</w:t>
            </w: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Amount of</w:t>
            </w:r>
          </w:p>
        </w:tc>
        <w:tc>
          <w:tcPr>
            <w:tcW w:w="66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color w:val="auto"/>
                <w:w w:val="99"/>
              </w:rPr>
              <w:t>Forward</w:t>
            </w:r>
          </w:p>
        </w:tc>
        <w:tc>
          <w:tcPr>
            <w:tcW w:w="6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Forward</w:t>
            </w:r>
          </w:p>
        </w:tc>
        <w:tc>
          <w:tcPr>
            <w:tcW w:w="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Initial</w:t>
            </w: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to be</w:t>
            </w: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Security</w:t>
            </w:r>
          </w:p>
        </w:tc>
        <w:tc>
          <w:tcPr>
            <w:tcW w:w="10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Security</w:t>
            </w:r>
          </w:p>
        </w:tc>
        <w:tc>
          <w:tcPr>
            <w:tcW w:w="9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Forward</w:t>
            </w:r>
          </w:p>
        </w:tc>
        <w:tc>
          <w:tcPr>
            <w:tcW w:w="8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Amount</w:t>
            </w:r>
          </w:p>
        </w:tc>
        <w:tc>
          <w:tcPr>
            <w:tcW w:w="8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Price Per</w:t>
            </w:r>
          </w:p>
        </w:tc>
        <w:tc>
          <w:tcPr>
            <w:tcW w:w="11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Aggregate</w:t>
            </w: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Registration</w:t>
            </w:r>
          </w:p>
        </w:tc>
        <w:tc>
          <w:tcPr>
            <w:tcW w:w="66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color w:val="auto"/>
              </w:rPr>
              <w:t>Form</w:t>
            </w:r>
          </w:p>
        </w:tc>
        <w:tc>
          <w:tcPr>
            <w:tcW w:w="6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File</w:t>
            </w:r>
          </w:p>
        </w:tc>
        <w:tc>
          <w:tcPr>
            <w:tcW w:w="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8"/>
              </w:rPr>
              <w:t>Effective</w:t>
            </w:r>
          </w:p>
        </w:tc>
        <w:tc>
          <w:tcPr>
            <w:tcW w:w="9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Carried</w:t>
            </w: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Type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Rule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Unit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Offering Price</w:t>
            </w:r>
          </w:p>
        </w:tc>
        <w:tc>
          <w:tcPr>
            <w:tcW w:w="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Fee 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Fee</w:t>
            </w: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Forward</w:t>
            </w:r>
          </w:p>
        </w:tc>
      </w:tr>
      <w:tr>
        <w:trPr>
          <w:trHeight w:val="212"/>
        </w:trPr>
        <w:tc>
          <w:tcPr>
            <w:tcW w:w="8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Newly Registered Securities</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182"/>
        </w:trPr>
        <w:tc>
          <w:tcPr>
            <w:tcW w:w="8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Fees to</w:t>
            </w: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Equity</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Ordinary</w:t>
            </w:r>
          </w:p>
        </w:tc>
        <w:tc>
          <w:tcPr>
            <w:tcW w:w="9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Rule</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5"/>
                <w:szCs w:val="15"/>
                <w:color w:val="auto"/>
              </w:rPr>
            </w:pPr>
          </w:p>
        </w:tc>
        <w:tc>
          <w:tcPr>
            <w:tcW w:w="580" w:type="dxa"/>
            <w:vAlign w:val="bottom"/>
            <w:tcBorders>
              <w:right w:val="single" w:sz="8" w:color="auto"/>
            </w:tcBorders>
          </w:tcPr>
          <w:p>
            <w:pPr>
              <w:jc w:val="center"/>
              <w:ind w:right="194"/>
              <w:spacing w:after="0" w:line="182" w:lineRule="exact"/>
              <w:rPr>
                <w:sz w:val="20"/>
                <w:szCs w:val="20"/>
                <w:color w:val="auto"/>
              </w:rPr>
            </w:pPr>
            <w:r>
              <w:rPr>
                <w:rFonts w:ascii="Arial" w:cs="Arial" w:eastAsia="Arial" w:hAnsi="Arial"/>
                <w:sz w:val="17"/>
                <w:szCs w:val="17"/>
                <w:color w:val="auto"/>
              </w:rPr>
              <w:t>(1)</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r>
      <w:tr>
        <w:trPr>
          <w:trHeight w:val="223"/>
        </w:trPr>
        <w:tc>
          <w:tcPr>
            <w:tcW w:w="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 Paid</w:t>
            </w: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Shares</w:t>
            </w: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457(o)</w:t>
            </w: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182"/>
        </w:trPr>
        <w:tc>
          <w:tcPr>
            <w:tcW w:w="88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Debt</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Debt</w:t>
            </w:r>
          </w:p>
        </w:tc>
        <w:tc>
          <w:tcPr>
            <w:tcW w:w="9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Rule</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5"/>
                <w:szCs w:val="15"/>
                <w:color w:val="auto"/>
              </w:rPr>
            </w:pPr>
          </w:p>
        </w:tc>
        <w:tc>
          <w:tcPr>
            <w:tcW w:w="580" w:type="dxa"/>
            <w:vAlign w:val="bottom"/>
            <w:tcBorders>
              <w:right w:val="single" w:sz="8" w:color="auto"/>
            </w:tcBorders>
          </w:tcPr>
          <w:p>
            <w:pPr>
              <w:jc w:val="center"/>
              <w:ind w:right="194"/>
              <w:spacing w:after="0" w:line="182" w:lineRule="exact"/>
              <w:rPr>
                <w:sz w:val="20"/>
                <w:szCs w:val="20"/>
                <w:color w:val="auto"/>
              </w:rPr>
            </w:pPr>
            <w:r>
              <w:rPr>
                <w:rFonts w:ascii="Arial" w:cs="Arial" w:eastAsia="Arial" w:hAnsi="Arial"/>
                <w:sz w:val="17"/>
                <w:szCs w:val="17"/>
                <w:color w:val="auto"/>
              </w:rPr>
              <w:t>(1)</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r>
      <w:tr>
        <w:trPr>
          <w:trHeight w:val="223"/>
        </w:trPr>
        <w:tc>
          <w:tcPr>
            <w:tcW w:w="880" w:type="dxa"/>
            <w:vAlign w:val="bottom"/>
            <w:tcBorders>
              <w:left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Securities</w:t>
            </w: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457(o)</w:t>
            </w: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182"/>
        </w:trPr>
        <w:tc>
          <w:tcPr>
            <w:tcW w:w="88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Other</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Warrants</w:t>
            </w:r>
          </w:p>
        </w:tc>
        <w:tc>
          <w:tcPr>
            <w:tcW w:w="9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Rule</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5"/>
                <w:szCs w:val="15"/>
                <w:color w:val="auto"/>
              </w:rPr>
            </w:pPr>
          </w:p>
        </w:tc>
        <w:tc>
          <w:tcPr>
            <w:tcW w:w="580" w:type="dxa"/>
            <w:vAlign w:val="bottom"/>
            <w:tcBorders>
              <w:right w:val="single" w:sz="8" w:color="auto"/>
            </w:tcBorders>
          </w:tcPr>
          <w:p>
            <w:pPr>
              <w:jc w:val="center"/>
              <w:ind w:right="194"/>
              <w:spacing w:after="0" w:line="182" w:lineRule="exact"/>
              <w:rPr>
                <w:sz w:val="20"/>
                <w:szCs w:val="20"/>
                <w:color w:val="auto"/>
              </w:rPr>
            </w:pPr>
            <w:r>
              <w:rPr>
                <w:rFonts w:ascii="Arial" w:cs="Arial" w:eastAsia="Arial" w:hAnsi="Arial"/>
                <w:sz w:val="17"/>
                <w:szCs w:val="17"/>
                <w:color w:val="auto"/>
              </w:rPr>
              <w:t>(1)</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r>
      <w:tr>
        <w:trPr>
          <w:trHeight w:val="223"/>
        </w:trPr>
        <w:tc>
          <w:tcPr>
            <w:tcW w:w="880" w:type="dxa"/>
            <w:vAlign w:val="bottom"/>
            <w:tcBorders>
              <w:left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457(o)</w:t>
            </w: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182"/>
        </w:trPr>
        <w:tc>
          <w:tcPr>
            <w:tcW w:w="88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Other</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7"/>
              </w:rPr>
              <w:t>Units</w:t>
            </w:r>
          </w:p>
        </w:tc>
        <w:tc>
          <w:tcPr>
            <w:tcW w:w="9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Rule</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5"/>
                <w:szCs w:val="15"/>
                <w:color w:val="auto"/>
              </w:rPr>
            </w:pPr>
          </w:p>
        </w:tc>
        <w:tc>
          <w:tcPr>
            <w:tcW w:w="580" w:type="dxa"/>
            <w:vAlign w:val="bottom"/>
            <w:tcBorders>
              <w:right w:val="single" w:sz="8" w:color="auto"/>
            </w:tcBorders>
          </w:tcPr>
          <w:p>
            <w:pPr>
              <w:jc w:val="center"/>
              <w:ind w:right="194"/>
              <w:spacing w:after="0" w:line="182" w:lineRule="exact"/>
              <w:rPr>
                <w:sz w:val="20"/>
                <w:szCs w:val="20"/>
                <w:color w:val="auto"/>
              </w:rPr>
            </w:pPr>
            <w:r>
              <w:rPr>
                <w:rFonts w:ascii="Arial" w:cs="Arial" w:eastAsia="Arial" w:hAnsi="Arial"/>
                <w:sz w:val="17"/>
                <w:szCs w:val="17"/>
                <w:color w:val="auto"/>
              </w:rPr>
              <w:t>(1)</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r>
      <w:tr>
        <w:trPr>
          <w:trHeight w:val="223"/>
        </w:trPr>
        <w:tc>
          <w:tcPr>
            <w:tcW w:w="880" w:type="dxa"/>
            <w:vAlign w:val="bottom"/>
            <w:tcBorders>
              <w:left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457(o)</w:t>
            </w: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182"/>
        </w:trPr>
        <w:tc>
          <w:tcPr>
            <w:tcW w:w="88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Other</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Subscription</w:t>
            </w:r>
          </w:p>
        </w:tc>
        <w:tc>
          <w:tcPr>
            <w:tcW w:w="9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Rule</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5"/>
                <w:szCs w:val="15"/>
                <w:color w:val="auto"/>
              </w:rPr>
            </w:pPr>
          </w:p>
        </w:tc>
        <w:tc>
          <w:tcPr>
            <w:tcW w:w="580" w:type="dxa"/>
            <w:vAlign w:val="bottom"/>
            <w:tcBorders>
              <w:right w:val="single" w:sz="8" w:color="auto"/>
            </w:tcBorders>
          </w:tcPr>
          <w:p>
            <w:pPr>
              <w:jc w:val="center"/>
              <w:ind w:right="194"/>
              <w:spacing w:after="0" w:line="182" w:lineRule="exact"/>
              <w:rPr>
                <w:sz w:val="20"/>
                <w:szCs w:val="20"/>
                <w:color w:val="auto"/>
              </w:rPr>
            </w:pPr>
            <w:r>
              <w:rPr>
                <w:rFonts w:ascii="Arial" w:cs="Arial" w:eastAsia="Arial" w:hAnsi="Arial"/>
                <w:sz w:val="17"/>
                <w:szCs w:val="17"/>
                <w:color w:val="auto"/>
              </w:rPr>
              <w:t>(1)</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r>
      <w:tr>
        <w:trPr>
          <w:trHeight w:val="223"/>
        </w:trPr>
        <w:tc>
          <w:tcPr>
            <w:tcW w:w="880" w:type="dxa"/>
            <w:vAlign w:val="bottom"/>
            <w:tcBorders>
              <w:left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Rights</w:t>
            </w: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457(o)</w:t>
            </w: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182"/>
        </w:trPr>
        <w:tc>
          <w:tcPr>
            <w:tcW w:w="88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Unallocated</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Unallocated</w:t>
            </w:r>
          </w:p>
        </w:tc>
        <w:tc>
          <w:tcPr>
            <w:tcW w:w="9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Rule</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6"/>
              </w:rPr>
              <w:t>(1)</w:t>
            </w: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$200,000,000</w:t>
            </w:r>
          </w:p>
        </w:tc>
        <w:tc>
          <w:tcPr>
            <w:tcW w:w="84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7"/>
                <w:szCs w:val="17"/>
                <w:color w:val="auto"/>
                <w:w w:val="97"/>
              </w:rPr>
              <w:t>0.0001102</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$22,040</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(Universal)</w:t>
            </w:r>
          </w:p>
        </w:tc>
        <w:tc>
          <w:tcPr>
            <w:tcW w:w="10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(Universal)</w:t>
            </w:r>
          </w:p>
        </w:tc>
        <w:tc>
          <w:tcPr>
            <w:tcW w:w="90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color w:val="auto"/>
              </w:rPr>
              <w:t>457(o)</w:t>
            </w: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Shelf</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Shelf</w:t>
            </w:r>
          </w:p>
        </w:tc>
        <w:tc>
          <w:tcPr>
            <w:tcW w:w="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182"/>
        </w:trPr>
        <w:tc>
          <w:tcPr>
            <w:tcW w:w="8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Fees</w:t>
            </w: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N/A</w:t>
            </w:r>
          </w:p>
        </w:tc>
        <w:tc>
          <w:tcPr>
            <w:tcW w:w="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N/A</w:t>
            </w:r>
          </w:p>
        </w:tc>
        <w:tc>
          <w:tcPr>
            <w:tcW w:w="26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r>
      <w:tr>
        <w:trPr>
          <w:trHeight w:val="193"/>
        </w:trPr>
        <w:tc>
          <w:tcPr>
            <w:tcW w:w="88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17"/>
                <w:szCs w:val="17"/>
                <w:color w:val="auto"/>
              </w:rPr>
              <w:t>Previously</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23"/>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Paid</w:t>
            </w: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212"/>
        </w:trPr>
        <w:tc>
          <w:tcPr>
            <w:tcW w:w="8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Carry Forward Securities</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182"/>
        </w:trPr>
        <w:tc>
          <w:tcPr>
            <w:tcW w:w="8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Carry</w:t>
            </w: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N/A</w:t>
            </w:r>
          </w:p>
        </w:tc>
        <w:tc>
          <w:tcPr>
            <w:tcW w:w="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8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8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N/A</w:t>
            </w:r>
          </w:p>
        </w:tc>
        <w:tc>
          <w:tcPr>
            <w:tcW w:w="26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7"/>
                <w:szCs w:val="17"/>
                <w:color w:val="auto"/>
              </w:rPr>
              <w:t>N/A</w:t>
            </w:r>
          </w:p>
        </w:tc>
        <w:tc>
          <w:tcPr>
            <w:tcW w:w="6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c>
          <w:tcPr>
            <w:tcW w:w="9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N/A</w:t>
            </w:r>
          </w:p>
        </w:tc>
      </w:tr>
      <w:tr>
        <w:trPr>
          <w:trHeight w:val="193"/>
        </w:trPr>
        <w:tc>
          <w:tcPr>
            <w:tcW w:w="88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Forward</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23"/>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Securities</w:t>
            </w: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r>
      <w:tr>
        <w:trPr>
          <w:trHeight w:val="212"/>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7"/>
                <w:szCs w:val="17"/>
                <w:color w:val="auto"/>
              </w:rPr>
              <w:t>Total Offering Amounts</w:t>
            </w:r>
          </w:p>
        </w:tc>
        <w:tc>
          <w:tcPr>
            <w:tcW w:w="8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$200,000,000</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$22,040</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12"/>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7"/>
                <w:szCs w:val="17"/>
                <w:color w:val="auto"/>
              </w:rPr>
              <w:t>Total Fees Previously Paid</w:t>
            </w:r>
          </w:p>
        </w:tc>
        <w:tc>
          <w:tcPr>
            <w:tcW w:w="8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N/A</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12"/>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7"/>
                <w:szCs w:val="17"/>
                <w:color w:val="auto"/>
                <w:w w:val="98"/>
              </w:rPr>
              <w:t>Total Fee Offsets</w:t>
            </w:r>
          </w:p>
        </w:tc>
        <w:tc>
          <w:tcPr>
            <w:tcW w:w="8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N/A</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12"/>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7"/>
                <w:szCs w:val="17"/>
                <w:color w:val="auto"/>
                <w:w w:val="99"/>
              </w:rPr>
              <w:t>Net Fee Due</w:t>
            </w:r>
          </w:p>
        </w:tc>
        <w:tc>
          <w:tcPr>
            <w:tcW w:w="8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$22,040</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bl>
    <w:p>
      <w:pPr>
        <w:spacing w:after="0" w:line="176" w:lineRule="exact"/>
        <w:rPr>
          <w:sz w:val="20"/>
          <w:szCs w:val="20"/>
          <w:color w:val="auto"/>
        </w:rPr>
      </w:pPr>
    </w:p>
    <w:p>
      <w:pPr>
        <w:jc w:val="both"/>
        <w:ind w:left="620" w:right="280" w:hanging="617"/>
        <w:spacing w:after="0" w:line="255" w:lineRule="auto"/>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Omitted pursuant to General Instruction II.C to Form F-3. The amount to be registered consists of up to $200,000,000 of an indeterminate amount of ordinary shares, debt securities, warrants, units and/or subscription rights that may be offered and sold from time to time in one or more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71386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sectPr>
      <w:pgSz w:w="11900" w:h="16838" w:orient="portrait"/>
      <w:cols w:equalWidth="0" w:num="1">
        <w:col w:w="11340"/>
      </w:cols>
      <w:pgMar w:left="320" w:top="3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lowerRoman"/>
      <w:start w:val="1"/>
    </w:lvl>
  </w:abstractNum>
  <w:abstractNum w:abstractNumId="9">
    <w:nsid w:val="2A487CB0"/>
    <w:multiLevelType w:val="hybridMultilevel"/>
    <w:lvl w:ilvl="0">
      <w:lvlJc w:val="left"/>
      <w:lvlText w:val="(%1)"/>
      <w:numFmt w:val="lowerRoman"/>
      <w:start w:val="1"/>
    </w:lvl>
  </w:abstractNum>
  <w:abstractNum w:abstractNumId="10">
    <w:nsid w:val="1D4ED43B"/>
    <w:multiLevelType w:val="hybridMultilevel"/>
    <w:lvl w:ilvl="0">
      <w:lvlJc w:val="left"/>
      <w:lvlText w:val="(%1)"/>
      <w:numFmt w:val="lowerLetter"/>
      <w:start w:val="1"/>
    </w:lvl>
    <w:lvl w:ilvl="1">
      <w:lvlJc w:val="left"/>
      <w:lvlText w:val="(%2)"/>
      <w:numFmt w:val="lowerRoman"/>
      <w:start w:val="1"/>
    </w:lvl>
  </w:abstractNum>
  <w:abstractNum w:abstractNumId="11">
    <w:nsid w:val="725A06FB"/>
    <w:multiLevelType w:val="hybridMultilevel"/>
    <w:lvl w:ilvl="0">
      <w:lvlJc w:val="left"/>
      <w:lvlText w:val="(%1)"/>
      <w:numFmt w:val="lowerRoman"/>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lowerRoman"/>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1)"/>
      <w:numFmt w:val="lowerLetter"/>
      <w:start w:val="1"/>
    </w:lvl>
  </w:abstractNum>
  <w:abstractNum w:abstractNumId="17">
    <w:nsid w:val="6DE91B18"/>
    <w:multiLevelType w:val="hybridMultilevel"/>
    <w:lvl w:ilvl="0">
      <w:lvlJc w:val="left"/>
      <w:lvlText w:val="(%1)"/>
      <w:numFmt w:val="lowerRoman"/>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5"/>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lowerLetter"/>
      <w:start w:val="1"/>
    </w:lvl>
  </w:abstractNum>
  <w:abstractNum w:abstractNumId="27">
    <w:nsid w:val="75C6C33A"/>
    <w:multiLevelType w:val="hybridMultilevel"/>
    <w:lvl w:ilvl="0">
      <w:lvlJc w:val="left"/>
      <w:lvlText w:val="(%1)"/>
      <w:numFmt w:val="decimal"/>
      <w:start w:val="2"/>
    </w:lvl>
  </w:abstractNum>
  <w:abstractNum w:abstractNumId="28">
    <w:nsid w:val="12E685FB"/>
    <w:multiLevelType w:val="hybridMultilevel"/>
    <w:lvl w:ilvl="0">
      <w:lvlJc w:val="left"/>
      <w:lvlText w:val="(%1)"/>
      <w:numFmt w:val="lowerLetter"/>
      <w:start w:val="2"/>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lowerLetter"/>
      <w:start w:val="6"/>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lowerRoman"/>
      <w:start w:val="1"/>
    </w:lvl>
  </w:abstractNum>
  <w:abstractNum w:abstractNumId="35">
    <w:nsid w:val="275AC794"/>
    <w:multiLevelType w:val="hybridMultilevel"/>
    <w:lvl w:ilvl="0">
      <w:lvlJc w:val="left"/>
      <w:lvlText w:val="(%1)"/>
      <w:numFmt w:val="lowerRoman"/>
      <w:start w:val="3"/>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10"/>
    </w:lvl>
  </w:abstractNum>
  <w:abstractNum w:abstractNumId="38">
    <w:nsid w:val="180115BE"/>
    <w:multiLevelType w:val="hybridMultilevel"/>
    <w:lvl w:ilvl="0">
      <w:lvlJc w:val="left"/>
      <w:lvlText w:val="(%1)"/>
      <w:numFmt w:val="lowerLetter"/>
      <w:start w:val="23"/>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2"/>
    </w:lvl>
  </w:abstractNum>
  <w:abstractNum w:abstractNumId="41">
    <w:nsid w:val="354FE9F9"/>
    <w:multiLevelType w:val="hybridMultilevel"/>
    <w:lvl w:ilvl="0">
      <w:lvlJc w:val="left"/>
      <w:lvlText w:val="(%1)"/>
      <w:numFmt w:val="lowerLetter"/>
      <w:start w:val="4"/>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Roman"/>
      <w:start w:val="1"/>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1"/>
    </w:lvl>
    <w:lvl w:ilvl="1">
      <w:lvlJc w:val="left"/>
      <w:lvlText w:val="(%2)"/>
      <w:numFmt w:val="lowerRoman"/>
      <w:start w:val="1"/>
    </w:lvl>
  </w:abstractNum>
  <w:abstractNum w:abstractNumId="46">
    <w:nsid w:val="3F6AB60F"/>
    <w:multiLevelType w:val="hybridMultilevel"/>
    <w:lvl w:ilvl="0">
      <w:lvlJc w:val="left"/>
      <w:lvlText w:val="(%1)"/>
      <w:numFmt w:val="lowerLetter"/>
      <w:start w:val="1"/>
    </w:lvl>
    <w:lvl w:ilvl="1">
      <w:lvlJc w:val="left"/>
      <w:lvlText w:val="(%2)"/>
      <w:numFmt w:val="lowerRoman"/>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lvl w:ilvl="1">
      <w:lvlJc w:val="left"/>
      <w:lvlText w:val="(%2)"/>
      <w:numFmt w:val="lowerRoman"/>
      <w:start w:val="1"/>
    </w:lvl>
  </w:abstractNum>
  <w:abstractNum w:abstractNumId="52">
    <w:nsid w:val="5FF87E05"/>
    <w:multiLevelType w:val="hybridMultilevel"/>
    <w:lvl w:ilvl="0">
      <w:lvlJc w:val="left"/>
      <w:lvlText w:val="(%1)"/>
      <w:numFmt w:val="lowerLetter"/>
      <w:start w:val="3"/>
    </w:lvl>
    <w:lvl w:ilvl="1">
      <w:lvlJc w:val="left"/>
      <w:lvlText w:val="(%2)"/>
      <w:numFmt w:val="lowerRoman"/>
      <w:start w:val="1"/>
    </w:lvl>
  </w:abstractNum>
  <w:abstractNum w:abstractNumId="53">
    <w:nsid w:val="2F305DEF"/>
    <w:multiLevelType w:val="hybridMultilevel"/>
    <w:lvl w:ilvl="0">
      <w:lvlJc w:val="left"/>
      <w:lvlText w:val="(%1)"/>
      <w:numFmt w:val="lowerLetter"/>
      <w:start w:val="2"/>
    </w:lvl>
  </w:abstractNum>
  <w:abstractNum w:abstractNumId="54">
    <w:nsid w:val="25A70BF7"/>
    <w:multiLevelType w:val="hybridMultilevel"/>
    <w:lvl w:ilvl="0">
      <w:lvlJc w:val="left"/>
      <w:lvlText w:val="(%1)"/>
      <w:numFmt w:val="lowerLetter"/>
      <w:start w:val="6"/>
    </w:lvl>
    <w:lvl w:ilvl="1">
      <w:lvlJc w:val="left"/>
      <w:lvlText w:val="(%2)"/>
      <w:numFmt w:val="lowerRoman"/>
      <w:start w:val="1"/>
    </w:lvl>
  </w:abstractNum>
  <w:abstractNum w:abstractNumId="55">
    <w:nsid w:val="1DBABF00"/>
    <w:multiLevelType w:val="hybridMultilevel"/>
    <w:lvl w:ilvl="0">
      <w:lvlJc w:val="left"/>
      <w:lvlText w:val="(%1)"/>
      <w:numFmt w:val="lowerLetter"/>
      <w:start w:val="2"/>
    </w:lvl>
  </w:abstractNum>
  <w:abstractNum w:abstractNumId="56">
    <w:nsid w:val="4AD084E9"/>
    <w:multiLevelType w:val="hybridMultilevel"/>
    <w:lvl w:ilvl="0">
      <w:lvlJc w:val="left"/>
      <w:lvlText w:val="(%1)"/>
      <w:numFmt w:val="lowerRoman"/>
      <w:start w:val="1"/>
    </w:lvl>
    <w:lvl w:ilvl="1">
      <w:lvlJc w:val="left"/>
      <w:lvlText w:val="(%2)"/>
      <w:numFmt w:val="upperLetter"/>
      <w:start w:val="1"/>
    </w:lvl>
  </w:abstractNum>
  <w:abstractNum w:abstractNumId="57">
    <w:nsid w:val="1F48EAA1"/>
    <w:multiLevelType w:val="hybridMultilevel"/>
    <w:lvl w:ilvl="0">
      <w:lvlJc w:val="left"/>
      <w:lvlText w:val="(%1)"/>
      <w:numFmt w:val="lowerRoman"/>
      <w:start w:val="3"/>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4"/>
    </w:lvl>
  </w:abstractNum>
  <w:abstractNum w:abstractNumId="61">
    <w:nsid w:val="6590700B"/>
    <w:multiLevelType w:val="hybridMultilevel"/>
    <w:lvl w:ilvl="0">
      <w:lvlJc w:val="left"/>
      <w:lvlText w:val="(%1)"/>
      <w:numFmt w:val="lowerLetter"/>
      <w:start w:val="5"/>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4"/>
    </w:lvl>
  </w:abstractNum>
  <w:abstractNum w:abstractNumId="64">
    <w:nsid w:val="98A3148"/>
    <w:multiLevelType w:val="hybridMultilevel"/>
    <w:lvl w:ilvl="0">
      <w:lvlJc w:val="left"/>
      <w:lvlText w:val="(%1)"/>
      <w:numFmt w:val="lowerLetter"/>
      <w:start w:val="2"/>
    </w:lvl>
  </w:abstractNum>
  <w:abstractNum w:abstractNumId="65">
    <w:nsid w:val="799D0247"/>
    <w:multiLevelType w:val="hybridMultilevel"/>
    <w:lvl w:ilvl="0">
      <w:lvlJc w:val="left"/>
      <w:lvlText w:val="(%1)"/>
      <w:numFmt w:val="lowerLetter"/>
      <w:start w:val="4"/>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2"/>
    </w:lvl>
  </w:abstractNum>
  <w:abstractNum w:abstractNumId="70">
    <w:nsid w:val="661E3F1E"/>
    <w:multiLevelType w:val="hybridMultilevel"/>
    <w:lvl w:ilvl="0">
      <w:lvlJc w:val="left"/>
      <w:lvlText w:val="1"/>
      <w:numFmt w:val="bullet"/>
      <w:start w:val="1"/>
    </w:lvl>
  </w:abstractNum>
  <w:abstractNum w:abstractNumId="71">
    <w:nsid w:val="5DC79EA8"/>
    <w:multiLevelType w:val="hybridMultilevel"/>
    <w:lvl w:ilvl="0">
      <w:lvlJc w:val="left"/>
      <w:lvlText w:val="2"/>
      <w:numFmt w:val="bullet"/>
      <w:start w:val="1"/>
    </w:lvl>
  </w:abstractNum>
  <w:abstractNum w:abstractNumId="72">
    <w:nsid w:val="540A471C"/>
    <w:multiLevelType w:val="hybridMultilevel"/>
    <w:lvl w:ilvl="0">
      <w:lvlJc w:val="left"/>
      <w:lvlText w:val="3"/>
      <w:numFmt w:val="bullet"/>
      <w:start w:val="1"/>
    </w:lvl>
  </w:abstractNum>
  <w:abstractNum w:abstractNumId="73">
    <w:nsid w:val="7BD3EE7B"/>
    <w:multiLevelType w:val="hybridMultilevel"/>
    <w:lvl w:ilvl="0">
      <w:lvlJc w:val="left"/>
      <w:lvlText w:val="(%1)"/>
      <w:numFmt w:val="lowerLetter"/>
      <w:start w:val="2"/>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jpe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jpe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jpeg"/><Relationship Id="rId141" Type="http://schemas.openxmlformats.org/officeDocument/2006/relationships/image" Target="media/image130.png"/><Relationship Id="rId142" Type="http://schemas.openxmlformats.org/officeDocument/2006/relationships/image" Target="media/image131.jpeg"/><Relationship Id="rId143" Type="http://schemas.openxmlformats.org/officeDocument/2006/relationships/image" Target="media/image132.png"/><Relationship Id="rId144" Type="http://schemas.openxmlformats.org/officeDocument/2006/relationships/image" Target="media/image133.jpeg"/><Relationship Id="rId145" Type="http://schemas.openxmlformats.org/officeDocument/2006/relationships/image" Target="media/image134.png"/><Relationship Id="rId146" Type="http://schemas.openxmlformats.org/officeDocument/2006/relationships/image" Target="media/image135.jpe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74" Type="http://schemas.openxmlformats.org/officeDocument/2006/relationships/hyperlink" Target="https://www.sec.gov/ix?doc=/Archives/edgar/data/0001855129/000114036123010814/brhc10049341_20f.htm" TargetMode="External"/><Relationship Id="rId75" Type="http://schemas.openxmlformats.org/officeDocument/2006/relationships/hyperlink" Target="https://www.sec.gov/Archives/edgar/data/1855129/000114036121021842/nt10022430x7_8a12b.htm" TargetMode="External"/><Relationship Id="rId82" Type="http://schemas.openxmlformats.org/officeDocument/2006/relationships/hyperlink" Target="https://www.sec.gov/Archives/edgar/data/1855129/000114036123010814/brhc10049341_ex1-1.htm" TargetMode="External"/><Relationship Id="rId83" Type="http://schemas.openxmlformats.org/officeDocument/2006/relationships/hyperlink" Target="https://www.sec.gov/Archives/edgar/data/1855129/000114036121021557/nt10022430x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2023-03-09T20:45:14Z</dcterms:created>
  <dcterms:modified xsi:type="dcterms:W3CDTF">2023-03-09T20:45:14Z</dcterms:modified>
</cp:coreProperties>
</file>