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2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GH Research PLC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Ordinary shares, nominal value $0.025 per 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G3855L106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G3855L106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Terwey Theis H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2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GERMANY</w:t>
      </w:r>
    </w:p>
    <w:p>
      <w:pPr>
        <w:sectPr>
          <w:pgSz w:w="11900" w:h="16884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4,692,903.00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4,692,903.00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4,692,903.00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7.6 %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9520"/>
          </w:cols>
          <w:pgMar w:left="360" w:top="166" w:right="8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GH Research PLC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Joshua Dawson House, Dawson Street, DUBLIN 2, IRELAND, D02 RY95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Theis Terwey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 w:right="35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c/o n.cour projects GmbH, Torstrasse 105-107, 10119 Berlin, Germany Citizenship: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Germany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Ordinary shares, nominal value $0.025 per share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G3855L106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ectPr>
          <w:pgSz w:w="11900" w:h="16838" w:orient="portrait"/>
          <w:cols w:equalWidth="0" w:num="1">
            <w:col w:w="10640"/>
          </w:cols>
          <w:pgMar w:left="360" w:top="166" w:right="899" w:bottom="0" w:gutter="0" w:footer="0" w:header="0"/>
          <w:type w:val="continuous"/>
        </w:sectPr>
      </w:pPr>
    </w:p>
    <w:bookmarkStart w:id="2" w:name="page3"/>
    <w:bookmarkEnd w:id="2"/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right="680" w:hanging="912"/>
        <w:spacing w:after="0" w:line="185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30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bscript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39"/>
          <w:szCs w:val="39"/>
          <w:color w:val="auto"/>
          <w:vertAlign w:val="subscript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ectPr>
          <w:pgSz w:w="11900" w:h="16838" w:orient="portrait"/>
          <w:cols w:equalWidth="0" w:num="1">
            <w:col w:w="11140"/>
          </w:cols>
          <w:pgMar w:left="360" w:top="126" w:right="399" w:bottom="640" w:gutter="0" w:footer="0" w:header="0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(k)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4.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Group, in accordance with Rule 240.13d-1(b)(1)(ii)(K).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4,692,903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30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7.6. The calculation of the percentage of Ordinary Shares beneficially owned assumes 62,029,395 Ordinary Shares outstanding as of June 30, 2025 %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26" w:right="399" w:bottom="640" w:gutter="0" w:footer="0" w:header="0"/>
          <w:type w:val="continuous"/>
        </w:sect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Number of shares as to which the person has:</w:t>
      </w:r>
    </w:p>
    <w:p>
      <w:pPr>
        <w:sectPr>
          <w:pgSz w:w="11900" w:h="16838" w:orient="portrait"/>
          <w:cols w:equalWidth="0" w:num="1">
            <w:col w:w="11140"/>
          </w:cols>
          <w:pgMar w:left="360" w:top="126" w:right="399" w:bottom="6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right="6520" w:firstLine="6"/>
        <w:spacing w:after="0" w:line="486" w:lineRule="auto"/>
        <w:tabs>
          <w:tab w:leader="none" w:pos="25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vote or to direct the vote: 4,692,903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20" w:hanging="314"/>
        <w:spacing w:after="0"/>
        <w:tabs>
          <w:tab w:leader="none" w:pos="3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4,692,903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80" w:hanging="374"/>
        <w:spacing w:after="0"/>
        <w:tabs>
          <w:tab w:leader="none" w:pos="3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26" w:right="399" w:bottom="640" w:gutter="0" w:footer="0" w:header="0"/>
          <w:type w:val="continuous"/>
        </w:sect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Terwey Theis H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720"/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Theis Terwey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Theis Terwey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720"/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08/14/2025</w:t>
      </w:r>
    </w:p>
    <w:sectPr>
      <w:pgSz w:w="11900" w:h="16838" w:orient="portrait"/>
      <w:cols w:equalWidth="0" w:num="1">
        <w:col w:w="11140"/>
      </w:cols>
      <w:pgMar w:left="360" w:top="126" w:right="399" w:bottom="6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46E87CCD"/>
    <w:multiLevelType w:val="hybridMultilevel"/>
    <w:lvl w:ilvl="0">
      <w:lvlJc w:val="left"/>
      <w:lvlText w:val="(%1)"/>
      <w:numFmt w:val="lowerLetter"/>
      <w:start w:val="8"/>
    </w:lvl>
  </w:abstractNum>
  <w:abstractNum w:abstractNumId="4">
    <w:nsid w:val="3D1B58BA"/>
    <w:multiLevelType w:val="hybridMultilevel"/>
    <w:lvl w:ilvl="0">
      <w:lvlJc w:val="left"/>
      <w:lvlText w:val="(%1)"/>
      <w:numFmt w:val="lowerLetter"/>
      <w:start w:val="3"/>
    </w:lvl>
  </w:abstractNum>
  <w:abstractNum w:abstractNumId="5">
    <w:nsid w:val="507ED7AB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2025-08-14T06:23:05Z</dcterms:created>
  <dcterms:modified xsi:type="dcterms:W3CDTF">2025-08-14T06:23:05Z</dcterms:modified>
</cp:coreProperties>
</file>