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GH Research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Nominal value of $0.025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08/12/2026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4,897,182.00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4,897,182.00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4,897,182.00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4,897,182.00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4,897,182.00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4,897,182.00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4,897,182.00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4,897,182.00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4,897,182.00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4,768,564.00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4,768,564.00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4,768,564.00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GH Research PLC</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Joshua Dawson House, Dawson Street, Dublin 2, L2, D02 RY95.</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of $0.025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(g)</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(h)</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(j)</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(k)</w:t>
            </w:r>
          </w:p>
        </w:tc>
        <w:tc>
          <w:tcPr>
            <w:tcW w:w="888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9040" w:type="dxa"/>
            <w:gridSpan w:val="2"/>
            <w:tcBorders/>
            <w:vAlign w:val="center"/>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Row 9 of each Reporting Person's cover page to this Schedule 13G/A sets forth the aggregate number of ordinary shares of the Issuer beneficially owned by such Reporting Person and is incorporated by reference. The Reporting Persons' ownership of the Issuer's securities includes (i) 4,768,564 ordinary shares directly held by the Fund, and (ii) 128,618 ordinary shares directly held by RA Capital Nexus Fund II, L.P. (the "Nexus Fund II"). RA Capital Healthcare Fund GP, LLC is the general partner of the Fund and RA Capital Nexus Fund II GP, LLC is the general partner of the Nexus Fund II. The general partner of RA Capital is RA Capital Management GP, LLC, of which Dr. Kolchinsky and Mr. Shah are the controlling persons. RA Capital serves as investment adviser for each of the Fund and the Nexus Fund II and may be deemed a beneficial owner, for purposes of Section 13(d) of the Act, of any securities of the Issuer held by the Fund or the Nexus Fund II. Each of the Fund and the Nexus Fund II has delegated to RA Capital the sole power to vote and the sole power to dispose of all securities held in its portfolio, including the ordinary shares of the Issuer reported herein. Because each of the Fund and the Nexus Fund II has divested itself of voting and investment power over the reported securities it holds and may not revoke that delegation on less than 61 days' notice, each of the Fund and the Nexus Fund II disclaims beneficial ownership of the securities it holds for purposes of Section 13(d) of the Act and therefore disclaims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13G/A sets forth the percentage of the ordinary shares of the Issuer beneficially owned by such Reporting Person and is incorporated by reference. The percentage set forth in Row 11 of each Reporting Person's cover page is based upon 68,642,287 ordinary shares of the Issuer outstanding as Issuer's Report of Foreign Issuer on Form 6-K filed with the Securities and Exchange Commission (the "SEC") on August 6, 2026.  %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8.</w:t>
            </w:r>
          </w:p>
        </w:tc>
        <w:tc>
          <w:tcPr>
            <w:tcW w:w="888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9.</w:t>
            </w:r>
          </w:p>
        </w:tc>
        <w:tc>
          <w:tcPr>
            <w:tcW w:w="888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Schedule 13G/A filed on May 15,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1844</Words>
  <Characters>9347</Characters>
  <CharactersWithSpaces>11125</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